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8B3" w:rsidRPr="00E228B3" w:rsidRDefault="00A76294" w:rsidP="00E228B3">
      <w:pPr>
        <w:jc w:val="center"/>
        <w:rPr>
          <w:rFonts w:ascii="Arial" w:hAnsi="Arial" w:cs="Arial"/>
          <w:b/>
          <w:sz w:val="22"/>
          <w:szCs w:val="22"/>
          <w:lang w:val="en-GB"/>
        </w:rPr>
      </w:pPr>
      <w:r>
        <w:rPr>
          <w:rFonts w:ascii="Arial" w:hAnsi="Arial" w:cs="Arial"/>
          <w:b/>
          <w:bCs/>
          <w:sz w:val="22"/>
          <w:szCs w:val="22"/>
        </w:rPr>
        <w:t>Improving Maths Self-confidence &amp; Maths Thinking S</w:t>
      </w:r>
      <w:r w:rsidR="00E228B3" w:rsidRPr="00E228B3">
        <w:rPr>
          <w:rFonts w:ascii="Arial" w:hAnsi="Arial" w:cs="Arial"/>
          <w:b/>
          <w:bCs/>
          <w:sz w:val="22"/>
          <w:szCs w:val="22"/>
        </w:rPr>
        <w:t>kills</w:t>
      </w:r>
    </w:p>
    <w:p w:rsidR="00E228B3" w:rsidRDefault="00E228B3" w:rsidP="00E228B3">
      <w:pPr>
        <w:jc w:val="center"/>
        <w:rPr>
          <w:rFonts w:ascii="Arial" w:hAnsi="Arial" w:cs="Arial"/>
          <w:sz w:val="22"/>
          <w:szCs w:val="22"/>
          <w:lang w:val="en-GB"/>
        </w:rPr>
      </w:pPr>
    </w:p>
    <w:p w:rsidR="005D492E" w:rsidRPr="006A0ACF" w:rsidRDefault="00E228B3" w:rsidP="00E228B3">
      <w:pPr>
        <w:jc w:val="center"/>
        <w:rPr>
          <w:rFonts w:ascii="Arial" w:hAnsi="Arial" w:cs="Arial"/>
          <w:b/>
          <w:bCs/>
          <w:sz w:val="22"/>
          <w:szCs w:val="22"/>
          <w:lang w:val="en-GB"/>
        </w:rPr>
      </w:pPr>
      <w:r w:rsidRPr="006A0ACF">
        <w:rPr>
          <w:rFonts w:ascii="Arial" w:hAnsi="Arial" w:cs="Arial"/>
          <w:b/>
          <w:bCs/>
          <w:sz w:val="22"/>
          <w:szCs w:val="22"/>
          <w:lang w:val="en-GB"/>
        </w:rPr>
        <w:t>John Reidy</w:t>
      </w:r>
    </w:p>
    <w:p w:rsidR="00E228B3" w:rsidRPr="006A0ACF" w:rsidRDefault="00E228B3" w:rsidP="00E228B3">
      <w:pPr>
        <w:jc w:val="center"/>
        <w:rPr>
          <w:rFonts w:ascii="Arial" w:hAnsi="Arial" w:cs="Arial"/>
          <w:b/>
          <w:bCs/>
          <w:sz w:val="22"/>
          <w:szCs w:val="22"/>
          <w:lang w:val="en-GB"/>
        </w:rPr>
      </w:pPr>
      <w:r w:rsidRPr="006A0ACF">
        <w:rPr>
          <w:rFonts w:ascii="Arial" w:hAnsi="Arial" w:cs="Arial"/>
          <w:b/>
          <w:bCs/>
          <w:sz w:val="22"/>
          <w:szCs w:val="22"/>
          <w:lang w:val="en-GB"/>
        </w:rPr>
        <w:t>Psychology Section</w:t>
      </w:r>
    </w:p>
    <w:p w:rsidR="00E228B3" w:rsidRPr="006A0ACF" w:rsidRDefault="00E228B3" w:rsidP="00E228B3">
      <w:pPr>
        <w:jc w:val="center"/>
        <w:rPr>
          <w:rFonts w:ascii="Arial" w:hAnsi="Arial" w:cs="Arial"/>
          <w:b/>
          <w:bCs/>
          <w:sz w:val="22"/>
          <w:szCs w:val="22"/>
          <w:lang w:val="en-GB"/>
        </w:rPr>
      </w:pPr>
      <w:r w:rsidRPr="006A0ACF">
        <w:rPr>
          <w:rFonts w:ascii="Arial" w:hAnsi="Arial" w:cs="Arial"/>
          <w:b/>
          <w:bCs/>
          <w:sz w:val="22"/>
          <w:szCs w:val="22"/>
          <w:lang w:val="en-GB"/>
        </w:rPr>
        <w:t>Faculty of Development &amp; Society</w:t>
      </w:r>
    </w:p>
    <w:p w:rsidR="00E228B3" w:rsidRPr="006A0ACF" w:rsidRDefault="00E228B3" w:rsidP="00E228B3">
      <w:pPr>
        <w:jc w:val="center"/>
        <w:rPr>
          <w:rFonts w:ascii="Arial" w:hAnsi="Arial" w:cs="Arial"/>
          <w:b/>
          <w:bCs/>
          <w:sz w:val="22"/>
          <w:szCs w:val="22"/>
          <w:lang w:val="en-GB"/>
        </w:rPr>
      </w:pPr>
      <w:r w:rsidRPr="006A0ACF">
        <w:rPr>
          <w:rFonts w:ascii="Arial" w:hAnsi="Arial" w:cs="Arial"/>
          <w:b/>
          <w:bCs/>
          <w:sz w:val="22"/>
          <w:szCs w:val="22"/>
          <w:lang w:val="en-GB"/>
        </w:rPr>
        <w:t>Sheffield Hallam University</w:t>
      </w:r>
    </w:p>
    <w:p w:rsidR="00E228B3" w:rsidRDefault="00E228B3">
      <w:pPr>
        <w:rPr>
          <w:rFonts w:ascii="Arial" w:hAnsi="Arial" w:cs="Arial"/>
          <w:sz w:val="22"/>
          <w:szCs w:val="22"/>
          <w:lang w:val="en-GB"/>
        </w:rPr>
      </w:pPr>
    </w:p>
    <w:p w:rsidR="00E228B3" w:rsidRPr="00E228B3" w:rsidRDefault="00E228B3">
      <w:pPr>
        <w:rPr>
          <w:rFonts w:ascii="Arial" w:hAnsi="Arial" w:cs="Arial"/>
          <w:sz w:val="22"/>
          <w:szCs w:val="22"/>
          <w:lang w:val="en-GB"/>
        </w:rPr>
      </w:pPr>
    </w:p>
    <w:p w:rsidR="005D492E" w:rsidRPr="00E228B3" w:rsidRDefault="005D492E">
      <w:pPr>
        <w:rPr>
          <w:rFonts w:ascii="Arial" w:hAnsi="Arial" w:cs="Arial"/>
          <w:b/>
          <w:sz w:val="22"/>
          <w:szCs w:val="22"/>
          <w:lang w:val="en-GB"/>
        </w:rPr>
      </w:pPr>
      <w:r w:rsidRPr="00E228B3">
        <w:rPr>
          <w:rFonts w:ascii="Arial" w:hAnsi="Arial" w:cs="Arial"/>
          <w:b/>
          <w:sz w:val="22"/>
          <w:szCs w:val="22"/>
          <w:lang w:val="en-GB"/>
        </w:rPr>
        <w:t>Abstract</w:t>
      </w:r>
    </w:p>
    <w:p w:rsidR="00A77A7B" w:rsidRPr="00E228B3" w:rsidRDefault="00A77A7B" w:rsidP="00A77A7B">
      <w:pPr>
        <w:rPr>
          <w:rFonts w:ascii="Arial" w:hAnsi="Arial" w:cs="Arial"/>
          <w:sz w:val="22"/>
          <w:szCs w:val="22"/>
        </w:rPr>
      </w:pPr>
    </w:p>
    <w:p w:rsidR="00182455" w:rsidRDefault="00A77A7B" w:rsidP="006A48FB">
      <w:pPr>
        <w:rPr>
          <w:rFonts w:ascii="Arial" w:hAnsi="Arial" w:cs="Arial"/>
          <w:sz w:val="22"/>
          <w:szCs w:val="22"/>
        </w:rPr>
      </w:pPr>
      <w:r w:rsidRPr="00E228B3">
        <w:rPr>
          <w:rFonts w:ascii="Arial" w:hAnsi="Arial" w:cs="Arial"/>
          <w:sz w:val="22"/>
          <w:szCs w:val="22"/>
        </w:rPr>
        <w:t xml:space="preserve">The current project aims to increase level 4 </w:t>
      </w:r>
      <w:r w:rsidR="006A0ACF">
        <w:rPr>
          <w:rFonts w:ascii="Arial" w:hAnsi="Arial" w:cs="Arial"/>
          <w:sz w:val="22"/>
          <w:szCs w:val="22"/>
        </w:rPr>
        <w:t xml:space="preserve">psychology </w:t>
      </w:r>
      <w:r w:rsidRPr="00E228B3">
        <w:rPr>
          <w:rFonts w:ascii="Arial" w:hAnsi="Arial" w:cs="Arial"/>
          <w:sz w:val="22"/>
          <w:szCs w:val="22"/>
        </w:rPr>
        <w:t xml:space="preserve">students’ self-confidence </w:t>
      </w:r>
      <w:r w:rsidR="00182455">
        <w:rPr>
          <w:rFonts w:ascii="Arial" w:hAnsi="Arial" w:cs="Arial"/>
          <w:sz w:val="22"/>
          <w:szCs w:val="22"/>
        </w:rPr>
        <w:t xml:space="preserve">at </w:t>
      </w:r>
      <w:r w:rsidR="00182455" w:rsidRPr="00E228B3">
        <w:rPr>
          <w:rFonts w:ascii="Arial" w:hAnsi="Arial" w:cs="Arial"/>
          <w:sz w:val="22"/>
          <w:szCs w:val="22"/>
        </w:rPr>
        <w:t xml:space="preserve">maths </w:t>
      </w:r>
      <w:r w:rsidRPr="00E228B3">
        <w:rPr>
          <w:rFonts w:ascii="Arial" w:hAnsi="Arial" w:cs="Arial"/>
          <w:sz w:val="22"/>
          <w:szCs w:val="22"/>
        </w:rPr>
        <w:t xml:space="preserve">and </w:t>
      </w:r>
      <w:r w:rsidR="00182455">
        <w:rPr>
          <w:rFonts w:ascii="Arial" w:hAnsi="Arial" w:cs="Arial"/>
          <w:sz w:val="22"/>
          <w:szCs w:val="22"/>
        </w:rPr>
        <w:t>their ability to think about basic mathematical concepts. The aim was to achieve this</w:t>
      </w:r>
      <w:r w:rsidRPr="00E228B3">
        <w:rPr>
          <w:rFonts w:ascii="Arial" w:hAnsi="Arial" w:cs="Arial"/>
          <w:sz w:val="22"/>
          <w:szCs w:val="22"/>
        </w:rPr>
        <w:t xml:space="preserve"> through </w:t>
      </w:r>
      <w:r w:rsidR="00182455">
        <w:rPr>
          <w:rFonts w:ascii="Arial" w:hAnsi="Arial" w:cs="Arial"/>
          <w:sz w:val="22"/>
          <w:szCs w:val="22"/>
        </w:rPr>
        <w:t>the use of</w:t>
      </w:r>
      <w:r w:rsidRPr="00E228B3">
        <w:rPr>
          <w:rFonts w:ascii="Arial" w:hAnsi="Arial" w:cs="Arial"/>
          <w:sz w:val="22"/>
          <w:szCs w:val="22"/>
        </w:rPr>
        <w:t xml:space="preserve"> study guides </w:t>
      </w:r>
      <w:r w:rsidR="00182455">
        <w:rPr>
          <w:rFonts w:ascii="Arial" w:hAnsi="Arial" w:cs="Arial"/>
          <w:sz w:val="22"/>
          <w:szCs w:val="22"/>
        </w:rPr>
        <w:t xml:space="preserve">which explained basic mathematics concepts </w:t>
      </w:r>
      <w:r w:rsidRPr="00E228B3">
        <w:rPr>
          <w:rFonts w:ascii="Arial" w:hAnsi="Arial" w:cs="Arial"/>
          <w:sz w:val="22"/>
          <w:szCs w:val="22"/>
        </w:rPr>
        <w:t xml:space="preserve">along with exercises to </w:t>
      </w:r>
      <w:r w:rsidR="00182455">
        <w:rPr>
          <w:rFonts w:ascii="Arial" w:hAnsi="Arial" w:cs="Arial"/>
          <w:sz w:val="22"/>
          <w:szCs w:val="22"/>
        </w:rPr>
        <w:t xml:space="preserve">enable students to </w:t>
      </w:r>
      <w:r w:rsidRPr="00E228B3">
        <w:rPr>
          <w:rFonts w:ascii="Arial" w:hAnsi="Arial" w:cs="Arial"/>
          <w:sz w:val="22"/>
          <w:szCs w:val="22"/>
        </w:rPr>
        <w:t xml:space="preserve">practice </w:t>
      </w:r>
      <w:r w:rsidR="00182455">
        <w:rPr>
          <w:rFonts w:ascii="Arial" w:hAnsi="Arial" w:cs="Arial"/>
          <w:sz w:val="22"/>
          <w:szCs w:val="22"/>
        </w:rPr>
        <w:t>thinking about these</w:t>
      </w:r>
      <w:r w:rsidR="006A48FB">
        <w:rPr>
          <w:rFonts w:ascii="Arial" w:hAnsi="Arial" w:cs="Arial"/>
          <w:sz w:val="22"/>
          <w:szCs w:val="22"/>
        </w:rPr>
        <w:t xml:space="preserve"> </w:t>
      </w:r>
      <w:r w:rsidR="00182455">
        <w:rPr>
          <w:rFonts w:ascii="Arial" w:hAnsi="Arial" w:cs="Arial"/>
          <w:sz w:val="22"/>
          <w:szCs w:val="22"/>
        </w:rPr>
        <w:t>concepts</w:t>
      </w:r>
      <w:r w:rsidRPr="00E228B3">
        <w:rPr>
          <w:rFonts w:ascii="Arial" w:hAnsi="Arial" w:cs="Arial"/>
          <w:sz w:val="22"/>
          <w:szCs w:val="22"/>
        </w:rPr>
        <w:t xml:space="preserve">. These additional resources </w:t>
      </w:r>
      <w:r w:rsidR="00182455">
        <w:rPr>
          <w:rFonts w:ascii="Arial" w:hAnsi="Arial" w:cs="Arial"/>
          <w:sz w:val="22"/>
          <w:szCs w:val="22"/>
        </w:rPr>
        <w:t xml:space="preserve">were designed to be </w:t>
      </w:r>
      <w:r w:rsidRPr="00E228B3">
        <w:rPr>
          <w:rFonts w:ascii="Arial" w:hAnsi="Arial" w:cs="Arial"/>
          <w:sz w:val="22"/>
          <w:szCs w:val="22"/>
        </w:rPr>
        <w:t>delivered to students via the Blackboard virtual learning environment.</w:t>
      </w:r>
    </w:p>
    <w:p w:rsidR="009D081A" w:rsidRDefault="009D081A" w:rsidP="006A48FB">
      <w:pPr>
        <w:rPr>
          <w:rFonts w:ascii="Arial" w:hAnsi="Arial" w:cs="Arial"/>
          <w:sz w:val="22"/>
          <w:szCs w:val="22"/>
        </w:rPr>
      </w:pPr>
    </w:p>
    <w:p w:rsidR="00A77A7B" w:rsidRDefault="006A48FB" w:rsidP="006A48FB">
      <w:pPr>
        <w:rPr>
          <w:rFonts w:ascii="Arial" w:hAnsi="Arial" w:cs="Arial"/>
          <w:sz w:val="22"/>
          <w:szCs w:val="22"/>
        </w:rPr>
      </w:pPr>
      <w:r>
        <w:rPr>
          <w:rFonts w:ascii="Arial" w:hAnsi="Arial" w:cs="Arial"/>
          <w:sz w:val="22"/>
          <w:szCs w:val="22"/>
        </w:rPr>
        <w:t>T</w:t>
      </w:r>
      <w:r w:rsidR="006A0ACF">
        <w:rPr>
          <w:rFonts w:ascii="Arial" w:hAnsi="Arial" w:cs="Arial"/>
          <w:sz w:val="22"/>
          <w:szCs w:val="22"/>
        </w:rPr>
        <w:t>wo cohorts of</w:t>
      </w:r>
      <w:r w:rsidR="00A77A7B" w:rsidRPr="00E228B3">
        <w:rPr>
          <w:rFonts w:ascii="Arial" w:hAnsi="Arial" w:cs="Arial"/>
          <w:sz w:val="22"/>
          <w:szCs w:val="22"/>
        </w:rPr>
        <w:t xml:space="preserve"> students have </w:t>
      </w:r>
      <w:r>
        <w:rPr>
          <w:rFonts w:ascii="Arial" w:hAnsi="Arial" w:cs="Arial"/>
          <w:sz w:val="22"/>
          <w:szCs w:val="22"/>
        </w:rPr>
        <w:t xml:space="preserve">recently </w:t>
      </w:r>
      <w:r w:rsidR="00A77A7B" w:rsidRPr="00E228B3">
        <w:rPr>
          <w:rFonts w:ascii="Arial" w:hAnsi="Arial" w:cs="Arial"/>
          <w:sz w:val="22"/>
          <w:szCs w:val="22"/>
        </w:rPr>
        <w:t xml:space="preserve">completed a </w:t>
      </w:r>
      <w:r w:rsidR="00182455">
        <w:rPr>
          <w:rFonts w:ascii="Arial" w:hAnsi="Arial" w:cs="Arial"/>
          <w:sz w:val="22"/>
          <w:szCs w:val="22"/>
        </w:rPr>
        <w:t>set</w:t>
      </w:r>
      <w:r w:rsidR="00A77A7B" w:rsidRPr="00E228B3">
        <w:rPr>
          <w:rFonts w:ascii="Arial" w:hAnsi="Arial" w:cs="Arial"/>
          <w:sz w:val="22"/>
          <w:szCs w:val="22"/>
        </w:rPr>
        <w:t xml:space="preserve"> of baseline measurements, including measures </w:t>
      </w:r>
      <w:r w:rsidR="00182455">
        <w:rPr>
          <w:rFonts w:ascii="Arial" w:hAnsi="Arial" w:cs="Arial"/>
          <w:sz w:val="22"/>
          <w:szCs w:val="22"/>
        </w:rPr>
        <w:t xml:space="preserve">of </w:t>
      </w:r>
      <w:r w:rsidR="00A77A7B" w:rsidRPr="00E228B3">
        <w:rPr>
          <w:rFonts w:ascii="Arial" w:hAnsi="Arial" w:cs="Arial"/>
          <w:sz w:val="22"/>
          <w:szCs w:val="22"/>
        </w:rPr>
        <w:t>enjoyment of mathematics, maths self-confidence, and statistic</w:t>
      </w:r>
      <w:r w:rsidR="00182455">
        <w:rPr>
          <w:rFonts w:ascii="Arial" w:hAnsi="Arial" w:cs="Arial"/>
          <w:sz w:val="22"/>
          <w:szCs w:val="22"/>
        </w:rPr>
        <w:t>s</w:t>
      </w:r>
      <w:r w:rsidR="00A77A7B" w:rsidRPr="00E228B3">
        <w:rPr>
          <w:rFonts w:ascii="Arial" w:hAnsi="Arial" w:cs="Arial"/>
          <w:sz w:val="22"/>
          <w:szCs w:val="22"/>
        </w:rPr>
        <w:t xml:space="preserve"> anxiety. Additionally </w:t>
      </w:r>
      <w:r>
        <w:rPr>
          <w:rFonts w:ascii="Arial" w:hAnsi="Arial" w:cs="Arial"/>
          <w:sz w:val="22"/>
          <w:szCs w:val="22"/>
        </w:rPr>
        <w:t>students</w:t>
      </w:r>
      <w:r w:rsidRPr="00E228B3">
        <w:rPr>
          <w:rFonts w:ascii="Arial" w:hAnsi="Arial" w:cs="Arial"/>
          <w:sz w:val="22"/>
          <w:szCs w:val="22"/>
        </w:rPr>
        <w:t xml:space="preserve"> </w:t>
      </w:r>
      <w:r w:rsidR="00A77A7B" w:rsidRPr="00E228B3">
        <w:rPr>
          <w:rFonts w:ascii="Arial" w:hAnsi="Arial" w:cs="Arial"/>
          <w:sz w:val="22"/>
          <w:szCs w:val="22"/>
        </w:rPr>
        <w:t>completed an assessment of their math</w:t>
      </w:r>
      <w:r>
        <w:rPr>
          <w:rFonts w:ascii="Arial" w:hAnsi="Arial" w:cs="Arial"/>
          <w:sz w:val="22"/>
          <w:szCs w:val="22"/>
        </w:rPr>
        <w:t>ematical</w:t>
      </w:r>
      <w:r w:rsidR="00A77A7B" w:rsidRPr="00E228B3">
        <w:rPr>
          <w:rFonts w:ascii="Arial" w:hAnsi="Arial" w:cs="Arial"/>
          <w:sz w:val="22"/>
          <w:szCs w:val="22"/>
        </w:rPr>
        <w:t xml:space="preserve"> </w:t>
      </w:r>
      <w:r>
        <w:rPr>
          <w:rFonts w:ascii="Arial" w:hAnsi="Arial" w:cs="Arial"/>
          <w:sz w:val="22"/>
          <w:szCs w:val="22"/>
        </w:rPr>
        <w:t xml:space="preserve">abilities </w:t>
      </w:r>
      <w:r w:rsidR="00A77A7B" w:rsidRPr="00E228B3">
        <w:rPr>
          <w:rFonts w:ascii="Arial" w:hAnsi="Arial" w:cs="Arial"/>
          <w:sz w:val="22"/>
          <w:szCs w:val="22"/>
        </w:rPr>
        <w:t>in six key areas.</w:t>
      </w:r>
    </w:p>
    <w:p w:rsidR="009D081A" w:rsidRPr="00E228B3" w:rsidRDefault="009D081A" w:rsidP="006A48FB">
      <w:pPr>
        <w:rPr>
          <w:rFonts w:ascii="Arial" w:hAnsi="Arial" w:cs="Arial"/>
          <w:sz w:val="22"/>
          <w:szCs w:val="22"/>
        </w:rPr>
      </w:pPr>
    </w:p>
    <w:p w:rsidR="00A77A7B" w:rsidRPr="00E228B3" w:rsidRDefault="00A77A7B" w:rsidP="00736ED7">
      <w:pPr>
        <w:rPr>
          <w:rFonts w:ascii="Arial" w:hAnsi="Arial" w:cs="Arial"/>
          <w:sz w:val="22"/>
          <w:szCs w:val="22"/>
        </w:rPr>
      </w:pPr>
      <w:r w:rsidRPr="00E228B3">
        <w:rPr>
          <w:rFonts w:ascii="Arial" w:hAnsi="Arial" w:cs="Arial"/>
          <w:sz w:val="22"/>
          <w:szCs w:val="22"/>
        </w:rPr>
        <w:t xml:space="preserve">The first two of the study guides and associated assessments </w:t>
      </w:r>
      <w:r w:rsidR="00736ED7">
        <w:rPr>
          <w:rFonts w:ascii="Arial" w:hAnsi="Arial" w:cs="Arial"/>
          <w:sz w:val="22"/>
          <w:szCs w:val="22"/>
        </w:rPr>
        <w:t>were</w:t>
      </w:r>
      <w:r w:rsidRPr="00E228B3">
        <w:rPr>
          <w:rFonts w:ascii="Arial" w:hAnsi="Arial" w:cs="Arial"/>
          <w:sz w:val="22"/>
          <w:szCs w:val="22"/>
        </w:rPr>
        <w:t xml:space="preserve"> released to </w:t>
      </w:r>
      <w:r w:rsidR="006A0ACF">
        <w:rPr>
          <w:rFonts w:ascii="Arial" w:hAnsi="Arial" w:cs="Arial"/>
          <w:sz w:val="22"/>
          <w:szCs w:val="22"/>
        </w:rPr>
        <w:t xml:space="preserve">one cohort of </w:t>
      </w:r>
      <w:r w:rsidRPr="00E228B3">
        <w:rPr>
          <w:rFonts w:ascii="Arial" w:hAnsi="Arial" w:cs="Arial"/>
          <w:sz w:val="22"/>
          <w:szCs w:val="22"/>
        </w:rPr>
        <w:t>students</w:t>
      </w:r>
      <w:r w:rsidR="00A76294">
        <w:rPr>
          <w:rFonts w:ascii="Arial" w:hAnsi="Arial" w:cs="Arial"/>
          <w:sz w:val="22"/>
          <w:szCs w:val="22"/>
        </w:rPr>
        <w:t>,</w:t>
      </w:r>
      <w:r w:rsidRPr="00E228B3">
        <w:rPr>
          <w:rFonts w:ascii="Arial" w:hAnsi="Arial" w:cs="Arial"/>
          <w:sz w:val="22"/>
          <w:szCs w:val="22"/>
        </w:rPr>
        <w:t xml:space="preserve"> </w:t>
      </w:r>
      <w:r w:rsidR="00736ED7">
        <w:rPr>
          <w:rFonts w:ascii="Arial" w:hAnsi="Arial" w:cs="Arial"/>
          <w:sz w:val="22"/>
          <w:szCs w:val="22"/>
        </w:rPr>
        <w:t>with some</w:t>
      </w:r>
      <w:r w:rsidRPr="00E228B3">
        <w:rPr>
          <w:rFonts w:ascii="Arial" w:hAnsi="Arial" w:cs="Arial"/>
          <w:sz w:val="22"/>
          <w:szCs w:val="22"/>
        </w:rPr>
        <w:t xml:space="preserve"> positive feedback </w:t>
      </w:r>
      <w:r w:rsidR="00736ED7">
        <w:rPr>
          <w:rFonts w:ascii="Arial" w:hAnsi="Arial" w:cs="Arial"/>
          <w:sz w:val="22"/>
          <w:szCs w:val="22"/>
        </w:rPr>
        <w:t>on their</w:t>
      </w:r>
      <w:r w:rsidRPr="00E228B3">
        <w:rPr>
          <w:rFonts w:ascii="Arial" w:hAnsi="Arial" w:cs="Arial"/>
          <w:sz w:val="22"/>
          <w:szCs w:val="22"/>
        </w:rPr>
        <w:t xml:space="preserve"> utility.</w:t>
      </w:r>
    </w:p>
    <w:p w:rsidR="00A77A7B" w:rsidRPr="00E228B3" w:rsidRDefault="00A77A7B" w:rsidP="00A77A7B">
      <w:pPr>
        <w:rPr>
          <w:rFonts w:ascii="Arial" w:hAnsi="Arial" w:cs="Arial"/>
          <w:sz w:val="22"/>
          <w:szCs w:val="22"/>
        </w:rPr>
      </w:pPr>
    </w:p>
    <w:p w:rsidR="005D492E" w:rsidRPr="00E228B3" w:rsidRDefault="009E50F2" w:rsidP="001C3FEE">
      <w:pPr>
        <w:rPr>
          <w:rFonts w:ascii="Arial" w:hAnsi="Arial" w:cs="Arial"/>
          <w:b/>
          <w:bCs/>
          <w:sz w:val="22"/>
          <w:szCs w:val="22"/>
          <w:lang w:val="en-GB"/>
        </w:rPr>
      </w:pPr>
      <w:r w:rsidRPr="00E228B3">
        <w:rPr>
          <w:rFonts w:ascii="Arial" w:hAnsi="Arial" w:cs="Arial"/>
          <w:b/>
          <w:bCs/>
          <w:sz w:val="22"/>
          <w:szCs w:val="22"/>
          <w:lang w:val="en-GB"/>
        </w:rPr>
        <w:t>Introduction</w:t>
      </w:r>
    </w:p>
    <w:p w:rsidR="00A77A7B" w:rsidRPr="00E228B3" w:rsidRDefault="00A77A7B" w:rsidP="00A77A7B">
      <w:pPr>
        <w:rPr>
          <w:rFonts w:ascii="Arial" w:hAnsi="Arial" w:cs="Arial"/>
          <w:sz w:val="22"/>
          <w:szCs w:val="22"/>
        </w:rPr>
      </w:pPr>
    </w:p>
    <w:p w:rsidR="00A77A7B" w:rsidRDefault="00A77A7B" w:rsidP="00276DC3">
      <w:pPr>
        <w:rPr>
          <w:rFonts w:ascii="Arial" w:hAnsi="Arial" w:cs="Arial"/>
          <w:sz w:val="22"/>
          <w:szCs w:val="22"/>
        </w:rPr>
      </w:pPr>
      <w:r w:rsidRPr="00E228B3">
        <w:rPr>
          <w:rFonts w:ascii="Arial" w:hAnsi="Arial" w:cs="Arial"/>
          <w:sz w:val="22"/>
          <w:szCs w:val="22"/>
        </w:rPr>
        <w:t>It has become increasing apparent that students undertaking the BSc Psychology often struggle with the statistics component of the course. Research Methods and Statistics teaching forms a core area of the British Psychological Society (BPS) accredited psychology awards. As a result</w:t>
      </w:r>
      <w:r w:rsidR="00276DC3">
        <w:rPr>
          <w:rFonts w:ascii="Arial" w:hAnsi="Arial" w:cs="Arial"/>
          <w:sz w:val="22"/>
          <w:szCs w:val="22"/>
        </w:rPr>
        <w:t>,</w:t>
      </w:r>
      <w:r w:rsidRPr="00E228B3">
        <w:rPr>
          <w:rFonts w:ascii="Arial" w:hAnsi="Arial" w:cs="Arial"/>
          <w:sz w:val="22"/>
          <w:szCs w:val="22"/>
        </w:rPr>
        <w:t xml:space="preserve"> all students wishing to gain a BPS degree are required to undertake introductory courses in statistics. </w:t>
      </w:r>
      <w:r w:rsidR="00276DC3">
        <w:rPr>
          <w:rFonts w:ascii="Arial" w:hAnsi="Arial" w:cs="Arial"/>
          <w:sz w:val="22"/>
          <w:szCs w:val="22"/>
        </w:rPr>
        <w:t>However, students o</w:t>
      </w:r>
      <w:r w:rsidRPr="00E228B3">
        <w:rPr>
          <w:rFonts w:ascii="Arial" w:hAnsi="Arial" w:cs="Arial"/>
          <w:sz w:val="22"/>
          <w:szCs w:val="22"/>
        </w:rPr>
        <w:t>ften come to the course lacking confidence in their mathematical ability and hence feel considerable anxiety and stress as a result of undertaking the research methods modules.</w:t>
      </w:r>
    </w:p>
    <w:p w:rsidR="00276DC3" w:rsidRPr="00E228B3" w:rsidRDefault="00276DC3" w:rsidP="00276DC3">
      <w:pPr>
        <w:rPr>
          <w:rFonts w:ascii="Arial" w:hAnsi="Arial" w:cs="Arial"/>
          <w:sz w:val="22"/>
          <w:szCs w:val="22"/>
        </w:rPr>
      </w:pPr>
    </w:p>
    <w:p w:rsidR="00875C91" w:rsidRDefault="00A77A7B" w:rsidP="0021209D">
      <w:pPr>
        <w:rPr>
          <w:rFonts w:ascii="Arial" w:hAnsi="Arial" w:cs="Arial"/>
          <w:sz w:val="22"/>
          <w:szCs w:val="22"/>
        </w:rPr>
      </w:pPr>
      <w:r w:rsidRPr="00E228B3">
        <w:rPr>
          <w:rFonts w:ascii="Arial" w:hAnsi="Arial" w:cs="Arial"/>
          <w:sz w:val="22"/>
          <w:szCs w:val="22"/>
        </w:rPr>
        <w:t xml:space="preserve">There is a growing literature concerning statistics anxiety which has been defined by Onwegbuzie et al. (1997) as an anxiety when encountering statistics in any form at any level. </w:t>
      </w:r>
      <w:r w:rsidR="008B5F68">
        <w:rPr>
          <w:rFonts w:ascii="Arial" w:hAnsi="Arial" w:cs="Arial"/>
          <w:sz w:val="22"/>
          <w:szCs w:val="22"/>
        </w:rPr>
        <w:t>It has been proposed by Cruise &amp; Wilkins (1980) that statistics anxiety has six components, namely worth of statistics, interpretation anxiety, test and class anxiety, computational self-concept, fear of asking for hel</w:t>
      </w:r>
      <w:r w:rsidR="00A76294">
        <w:rPr>
          <w:rFonts w:ascii="Arial" w:hAnsi="Arial" w:cs="Arial"/>
          <w:sz w:val="22"/>
          <w:szCs w:val="22"/>
        </w:rPr>
        <w:t>p, and fear of statistics teach</w:t>
      </w:r>
      <w:r w:rsidR="008B5F68">
        <w:rPr>
          <w:rFonts w:ascii="Arial" w:hAnsi="Arial" w:cs="Arial"/>
          <w:sz w:val="22"/>
          <w:szCs w:val="22"/>
        </w:rPr>
        <w:t xml:space="preserve">ers. This model of statistics anxiety was recently supported by the modeling analyses reported by Hanna, Shevlin and Dempster (2005). </w:t>
      </w:r>
      <w:r w:rsidRPr="00E228B3">
        <w:rPr>
          <w:rFonts w:ascii="Arial" w:hAnsi="Arial" w:cs="Arial"/>
          <w:sz w:val="22"/>
          <w:szCs w:val="22"/>
        </w:rPr>
        <w:t xml:space="preserve">Onwegbuzie and Wilson (2003) </w:t>
      </w:r>
      <w:r w:rsidR="008B5F68">
        <w:rPr>
          <w:rFonts w:ascii="Arial" w:hAnsi="Arial" w:cs="Arial"/>
          <w:sz w:val="22"/>
          <w:szCs w:val="22"/>
        </w:rPr>
        <w:t xml:space="preserve">have </w:t>
      </w:r>
      <w:r w:rsidR="00276DC3" w:rsidRPr="00E228B3">
        <w:rPr>
          <w:rFonts w:ascii="Arial" w:hAnsi="Arial" w:cs="Arial"/>
          <w:sz w:val="22"/>
          <w:szCs w:val="22"/>
        </w:rPr>
        <w:t>provided</w:t>
      </w:r>
      <w:r w:rsidRPr="00E228B3">
        <w:rPr>
          <w:rFonts w:ascii="Arial" w:hAnsi="Arial" w:cs="Arial"/>
          <w:sz w:val="22"/>
          <w:szCs w:val="22"/>
        </w:rPr>
        <w:t xml:space="preserve"> a good review of the factors related to statistics anxiety. They highlight research by Zeidner (1991) which showed that key factors related to statistics anxiety were prior experience of mathematics teaching as well as maths self-confidence. </w:t>
      </w:r>
      <w:r w:rsidR="00875C91">
        <w:rPr>
          <w:rFonts w:ascii="Arial" w:hAnsi="Arial" w:cs="Arial"/>
          <w:sz w:val="22"/>
          <w:szCs w:val="22"/>
        </w:rPr>
        <w:t xml:space="preserve">Onwuegbuzie &amp; Wilson (2003) have also suggested that prior </w:t>
      </w:r>
      <w:r w:rsidR="00F60313">
        <w:rPr>
          <w:rFonts w:ascii="Arial" w:hAnsi="Arial" w:cs="Arial"/>
          <w:sz w:val="22"/>
          <w:szCs w:val="22"/>
        </w:rPr>
        <w:t>experience</w:t>
      </w:r>
      <w:r w:rsidR="00276DC3">
        <w:rPr>
          <w:rFonts w:ascii="Arial" w:hAnsi="Arial" w:cs="Arial"/>
          <w:sz w:val="22"/>
          <w:szCs w:val="22"/>
        </w:rPr>
        <w:t xml:space="preserve"> </w:t>
      </w:r>
      <w:r w:rsidR="00F60313">
        <w:rPr>
          <w:rFonts w:ascii="Arial" w:hAnsi="Arial" w:cs="Arial"/>
          <w:sz w:val="22"/>
          <w:szCs w:val="22"/>
        </w:rPr>
        <w:t>of</w:t>
      </w:r>
      <w:r w:rsidR="00276DC3">
        <w:rPr>
          <w:rFonts w:ascii="Arial" w:hAnsi="Arial" w:cs="Arial"/>
          <w:sz w:val="22"/>
          <w:szCs w:val="22"/>
        </w:rPr>
        <w:t xml:space="preserve"> </w:t>
      </w:r>
      <w:r w:rsidR="00875C91">
        <w:rPr>
          <w:rFonts w:ascii="Arial" w:hAnsi="Arial" w:cs="Arial"/>
          <w:sz w:val="22"/>
          <w:szCs w:val="22"/>
        </w:rPr>
        <w:t>mathematics was important in predicting levels of statistics anxiety</w:t>
      </w:r>
      <w:r w:rsidR="00A76294">
        <w:rPr>
          <w:rFonts w:ascii="Arial" w:hAnsi="Arial" w:cs="Arial"/>
          <w:sz w:val="22"/>
          <w:szCs w:val="22"/>
        </w:rPr>
        <w:t>,</w:t>
      </w:r>
      <w:r w:rsidR="00875C91">
        <w:rPr>
          <w:rFonts w:ascii="Arial" w:hAnsi="Arial" w:cs="Arial"/>
          <w:sz w:val="22"/>
          <w:szCs w:val="22"/>
        </w:rPr>
        <w:t xml:space="preserve"> and thus engagement with learning in statistics modules. On a related note</w:t>
      </w:r>
      <w:r w:rsidR="00A76294">
        <w:rPr>
          <w:rFonts w:ascii="Arial" w:hAnsi="Arial" w:cs="Arial"/>
          <w:sz w:val="22"/>
          <w:szCs w:val="22"/>
        </w:rPr>
        <w:t>,</w:t>
      </w:r>
      <w:r w:rsidR="00875C91">
        <w:rPr>
          <w:rFonts w:ascii="Arial" w:hAnsi="Arial" w:cs="Arial"/>
          <w:sz w:val="22"/>
          <w:szCs w:val="22"/>
        </w:rPr>
        <w:t xml:space="preserve"> some recent research by Mulhern and Wylie (2005) has demonstrated that students starting psychology undergraduate courses </w:t>
      </w:r>
      <w:r w:rsidR="0021209D">
        <w:rPr>
          <w:rFonts w:ascii="Arial" w:hAnsi="Arial" w:cs="Arial"/>
          <w:sz w:val="22"/>
          <w:szCs w:val="22"/>
        </w:rPr>
        <w:t xml:space="preserve">are </w:t>
      </w:r>
      <w:r w:rsidR="00875C91">
        <w:rPr>
          <w:rFonts w:ascii="Arial" w:hAnsi="Arial" w:cs="Arial"/>
          <w:sz w:val="22"/>
          <w:szCs w:val="22"/>
        </w:rPr>
        <w:t xml:space="preserve">often </w:t>
      </w:r>
      <w:r w:rsidR="00A76294">
        <w:rPr>
          <w:rFonts w:ascii="Arial" w:hAnsi="Arial" w:cs="Arial"/>
          <w:sz w:val="22"/>
          <w:szCs w:val="22"/>
        </w:rPr>
        <w:t>ill-</w:t>
      </w:r>
      <w:r w:rsidR="00875C91">
        <w:rPr>
          <w:rFonts w:ascii="Arial" w:hAnsi="Arial" w:cs="Arial"/>
          <w:sz w:val="22"/>
          <w:szCs w:val="22"/>
        </w:rPr>
        <w:t xml:space="preserve">equipped to deal with the statistical component of the course. In their study they examined the </w:t>
      </w:r>
      <w:r w:rsidR="0021209D">
        <w:rPr>
          <w:rFonts w:ascii="Arial" w:hAnsi="Arial" w:cs="Arial"/>
          <w:sz w:val="22"/>
          <w:szCs w:val="22"/>
        </w:rPr>
        <w:t>students' mathematical abilities</w:t>
      </w:r>
      <w:r w:rsidR="00875C91">
        <w:rPr>
          <w:rFonts w:ascii="Arial" w:hAnsi="Arial" w:cs="Arial"/>
          <w:sz w:val="22"/>
          <w:szCs w:val="22"/>
        </w:rPr>
        <w:t xml:space="preserve"> in six key areas, including estimation, interpreting graphs, probabilities, proportions, calculations and algebra. They found that the students from a </w:t>
      </w:r>
      <w:r w:rsidR="00F60313">
        <w:rPr>
          <w:rFonts w:ascii="Arial" w:hAnsi="Arial" w:cs="Arial"/>
          <w:sz w:val="22"/>
          <w:szCs w:val="22"/>
        </w:rPr>
        <w:t>variety</w:t>
      </w:r>
      <w:r w:rsidR="00875C91">
        <w:rPr>
          <w:rFonts w:ascii="Arial" w:hAnsi="Arial" w:cs="Arial"/>
          <w:sz w:val="22"/>
          <w:szCs w:val="22"/>
        </w:rPr>
        <w:t xml:space="preserve"> of UK higher education institutions </w:t>
      </w:r>
      <w:r w:rsidR="00F60313">
        <w:rPr>
          <w:rFonts w:ascii="Arial" w:hAnsi="Arial" w:cs="Arial"/>
          <w:sz w:val="22"/>
          <w:szCs w:val="22"/>
        </w:rPr>
        <w:t xml:space="preserve">particularly </w:t>
      </w:r>
      <w:r w:rsidR="0021209D">
        <w:rPr>
          <w:rFonts w:ascii="Arial" w:hAnsi="Arial" w:cs="Arial"/>
          <w:sz w:val="22"/>
          <w:szCs w:val="22"/>
        </w:rPr>
        <w:t>lacked</w:t>
      </w:r>
      <w:r w:rsidR="00875C91">
        <w:rPr>
          <w:rFonts w:ascii="Arial" w:hAnsi="Arial" w:cs="Arial"/>
          <w:sz w:val="22"/>
          <w:szCs w:val="22"/>
        </w:rPr>
        <w:t xml:space="preserve"> skills </w:t>
      </w:r>
      <w:r w:rsidR="00F60313">
        <w:rPr>
          <w:rFonts w:ascii="Arial" w:hAnsi="Arial" w:cs="Arial"/>
          <w:sz w:val="22"/>
          <w:szCs w:val="22"/>
        </w:rPr>
        <w:t xml:space="preserve">relevant to understanding </w:t>
      </w:r>
      <w:r w:rsidR="00875C91">
        <w:rPr>
          <w:rFonts w:ascii="Arial" w:hAnsi="Arial" w:cs="Arial"/>
          <w:sz w:val="22"/>
          <w:szCs w:val="22"/>
        </w:rPr>
        <w:t>probability</w:t>
      </w:r>
      <w:r w:rsidR="00F60313">
        <w:rPr>
          <w:rFonts w:ascii="Arial" w:hAnsi="Arial" w:cs="Arial"/>
          <w:sz w:val="22"/>
          <w:szCs w:val="22"/>
        </w:rPr>
        <w:t xml:space="preserve">, </w:t>
      </w:r>
      <w:r w:rsidR="00875C91">
        <w:rPr>
          <w:rFonts w:ascii="Arial" w:hAnsi="Arial" w:cs="Arial"/>
          <w:sz w:val="22"/>
          <w:szCs w:val="22"/>
        </w:rPr>
        <w:t xml:space="preserve">proportions </w:t>
      </w:r>
      <w:r w:rsidR="00F60313">
        <w:rPr>
          <w:rFonts w:ascii="Arial" w:hAnsi="Arial" w:cs="Arial"/>
          <w:sz w:val="22"/>
          <w:szCs w:val="22"/>
        </w:rPr>
        <w:t xml:space="preserve">and numerical </w:t>
      </w:r>
      <w:r w:rsidR="00875C91">
        <w:rPr>
          <w:rFonts w:ascii="Arial" w:hAnsi="Arial" w:cs="Arial"/>
          <w:sz w:val="22"/>
          <w:szCs w:val="22"/>
        </w:rPr>
        <w:t>estimation. It is apparent that if the students see themselves as lacking in key mathematical skills</w:t>
      </w:r>
      <w:r w:rsidR="0021209D">
        <w:rPr>
          <w:rFonts w:ascii="Arial" w:hAnsi="Arial" w:cs="Arial"/>
          <w:sz w:val="22"/>
          <w:szCs w:val="22"/>
        </w:rPr>
        <w:t>,</w:t>
      </w:r>
      <w:r w:rsidR="00875C91">
        <w:rPr>
          <w:rFonts w:ascii="Arial" w:hAnsi="Arial" w:cs="Arial"/>
          <w:sz w:val="22"/>
          <w:szCs w:val="22"/>
        </w:rPr>
        <w:t xml:space="preserve"> then </w:t>
      </w:r>
      <w:r w:rsidR="00875C91">
        <w:rPr>
          <w:rFonts w:ascii="Arial" w:hAnsi="Arial" w:cs="Arial"/>
          <w:sz w:val="22"/>
          <w:szCs w:val="22"/>
        </w:rPr>
        <w:lastRenderedPageBreak/>
        <w:t>this is likely to have a significant impact upon their statistics anxiety</w:t>
      </w:r>
      <w:r w:rsidR="00A76294">
        <w:rPr>
          <w:rFonts w:ascii="Arial" w:hAnsi="Arial" w:cs="Arial"/>
          <w:sz w:val="22"/>
          <w:szCs w:val="22"/>
        </w:rPr>
        <w:t>,</w:t>
      </w:r>
      <w:r w:rsidR="00875C91">
        <w:rPr>
          <w:rFonts w:ascii="Arial" w:hAnsi="Arial" w:cs="Arial"/>
          <w:sz w:val="22"/>
          <w:szCs w:val="22"/>
        </w:rPr>
        <w:t xml:space="preserve"> and their confidence when confronted with the statistics component of their undergraduate courses.</w:t>
      </w:r>
    </w:p>
    <w:p w:rsidR="00875C91" w:rsidRDefault="00875C91" w:rsidP="00A77A7B">
      <w:pPr>
        <w:rPr>
          <w:rFonts w:ascii="Arial" w:hAnsi="Arial" w:cs="Arial"/>
          <w:sz w:val="22"/>
          <w:szCs w:val="22"/>
        </w:rPr>
      </w:pPr>
    </w:p>
    <w:p w:rsidR="008D2741" w:rsidRDefault="008D2741" w:rsidP="00770734">
      <w:pPr>
        <w:rPr>
          <w:rFonts w:ascii="Arial" w:hAnsi="Arial" w:cs="Arial"/>
          <w:sz w:val="22"/>
          <w:szCs w:val="22"/>
        </w:rPr>
      </w:pPr>
      <w:r>
        <w:rPr>
          <w:rFonts w:ascii="Arial" w:hAnsi="Arial" w:cs="Arial"/>
          <w:sz w:val="22"/>
          <w:szCs w:val="22"/>
        </w:rPr>
        <w:t>One of the main recommendations from the work of researchers like Onwuegbuzie is that we need to pay close attention to how we design statistics courses to ensure that we do</w:t>
      </w:r>
      <w:r w:rsidR="0021209D">
        <w:rPr>
          <w:rFonts w:ascii="Arial" w:hAnsi="Arial" w:cs="Arial"/>
          <w:sz w:val="22"/>
          <w:szCs w:val="22"/>
        </w:rPr>
        <w:t xml:space="preserve"> no</w:t>
      </w:r>
      <w:r>
        <w:rPr>
          <w:rFonts w:ascii="Arial" w:hAnsi="Arial" w:cs="Arial"/>
          <w:sz w:val="22"/>
          <w:szCs w:val="22"/>
        </w:rPr>
        <w:t xml:space="preserve">t </w:t>
      </w:r>
      <w:r w:rsidR="00A76294">
        <w:rPr>
          <w:rFonts w:ascii="Arial" w:hAnsi="Arial" w:cs="Arial"/>
          <w:sz w:val="22"/>
          <w:szCs w:val="22"/>
        </w:rPr>
        <w:t>exacerbate</w:t>
      </w:r>
      <w:r>
        <w:rPr>
          <w:rFonts w:ascii="Arial" w:hAnsi="Arial" w:cs="Arial"/>
          <w:sz w:val="22"/>
          <w:szCs w:val="22"/>
        </w:rPr>
        <w:t xml:space="preserve"> </w:t>
      </w:r>
      <w:r w:rsidR="00A76294">
        <w:rPr>
          <w:rFonts w:ascii="Arial" w:hAnsi="Arial" w:cs="Arial"/>
          <w:sz w:val="22"/>
          <w:szCs w:val="22"/>
        </w:rPr>
        <w:t>students'</w:t>
      </w:r>
      <w:r>
        <w:rPr>
          <w:rFonts w:ascii="Arial" w:hAnsi="Arial" w:cs="Arial"/>
          <w:sz w:val="22"/>
          <w:szCs w:val="22"/>
        </w:rPr>
        <w:t xml:space="preserve"> levels of statistics anxiety. One specific recommendation is to avoid </w:t>
      </w:r>
      <w:r w:rsidR="0021209D">
        <w:rPr>
          <w:rFonts w:ascii="Arial" w:hAnsi="Arial" w:cs="Arial"/>
          <w:sz w:val="22"/>
          <w:szCs w:val="22"/>
        </w:rPr>
        <w:t xml:space="preserve">asking </w:t>
      </w:r>
      <w:r>
        <w:rPr>
          <w:rFonts w:ascii="Arial" w:hAnsi="Arial" w:cs="Arial"/>
          <w:sz w:val="22"/>
          <w:szCs w:val="22"/>
        </w:rPr>
        <w:t>students to calculate statistics</w:t>
      </w:r>
      <w:r w:rsidR="00A76294">
        <w:rPr>
          <w:rFonts w:ascii="Arial" w:hAnsi="Arial" w:cs="Arial"/>
          <w:sz w:val="22"/>
          <w:szCs w:val="22"/>
        </w:rPr>
        <w:t xml:space="preserve"> by hand</w:t>
      </w:r>
      <w:r>
        <w:rPr>
          <w:rFonts w:ascii="Arial" w:hAnsi="Arial" w:cs="Arial"/>
          <w:sz w:val="22"/>
          <w:szCs w:val="22"/>
        </w:rPr>
        <w:t>. Farbey &amp; Roberts (1981) have shown that students who are required to calculate statistics by hand experience high levels of anxiety</w:t>
      </w:r>
      <w:r w:rsidR="00A76294">
        <w:rPr>
          <w:rFonts w:ascii="Arial" w:hAnsi="Arial" w:cs="Arial"/>
          <w:sz w:val="22"/>
          <w:szCs w:val="22"/>
        </w:rPr>
        <w:t>,</w:t>
      </w:r>
      <w:r>
        <w:rPr>
          <w:rFonts w:ascii="Arial" w:hAnsi="Arial" w:cs="Arial"/>
          <w:sz w:val="22"/>
          <w:szCs w:val="22"/>
        </w:rPr>
        <w:t xml:space="preserve"> and this is particularly the case for difficult statistical problems. Interestingly, Seabrook (2006) has </w:t>
      </w:r>
      <w:r w:rsidR="00987AC7">
        <w:rPr>
          <w:rFonts w:ascii="Arial" w:hAnsi="Arial" w:cs="Arial"/>
          <w:sz w:val="22"/>
          <w:szCs w:val="22"/>
        </w:rPr>
        <w:t xml:space="preserve">demonstrated that students who undertake courses which do not require hand calculations attain higher levels of </w:t>
      </w:r>
      <w:r w:rsidR="00770734">
        <w:rPr>
          <w:rFonts w:ascii="Arial" w:hAnsi="Arial" w:cs="Arial"/>
          <w:sz w:val="22"/>
          <w:szCs w:val="22"/>
        </w:rPr>
        <w:t xml:space="preserve">skills in </w:t>
      </w:r>
      <w:r w:rsidR="00987AC7">
        <w:rPr>
          <w:rFonts w:ascii="Arial" w:hAnsi="Arial" w:cs="Arial"/>
          <w:sz w:val="22"/>
          <w:szCs w:val="22"/>
        </w:rPr>
        <w:t xml:space="preserve">statistical </w:t>
      </w:r>
      <w:r w:rsidR="009D081A">
        <w:rPr>
          <w:rFonts w:ascii="Arial" w:hAnsi="Arial" w:cs="Arial"/>
          <w:sz w:val="22"/>
          <w:szCs w:val="22"/>
        </w:rPr>
        <w:t>analyses than</w:t>
      </w:r>
      <w:r w:rsidR="00987AC7">
        <w:rPr>
          <w:rFonts w:ascii="Arial" w:hAnsi="Arial" w:cs="Arial"/>
          <w:sz w:val="22"/>
          <w:szCs w:val="22"/>
        </w:rPr>
        <w:t xml:space="preserve"> students who are required to </w:t>
      </w:r>
      <w:r w:rsidR="00770734">
        <w:rPr>
          <w:rFonts w:ascii="Arial" w:hAnsi="Arial" w:cs="Arial"/>
          <w:sz w:val="22"/>
          <w:szCs w:val="22"/>
        </w:rPr>
        <w:t xml:space="preserve">do </w:t>
      </w:r>
      <w:r w:rsidR="00F94DF1">
        <w:rPr>
          <w:rFonts w:ascii="Arial" w:hAnsi="Arial" w:cs="Arial"/>
          <w:sz w:val="22"/>
          <w:szCs w:val="22"/>
        </w:rPr>
        <w:t>hand</w:t>
      </w:r>
      <w:r w:rsidR="00770734">
        <w:rPr>
          <w:rFonts w:ascii="Arial" w:hAnsi="Arial" w:cs="Arial"/>
          <w:sz w:val="22"/>
          <w:szCs w:val="22"/>
        </w:rPr>
        <w:t xml:space="preserve"> calculations</w:t>
      </w:r>
      <w:r w:rsidR="00987AC7">
        <w:rPr>
          <w:rFonts w:ascii="Arial" w:hAnsi="Arial" w:cs="Arial"/>
          <w:sz w:val="22"/>
          <w:szCs w:val="22"/>
        </w:rPr>
        <w:t>. They also had higher attainment levels.</w:t>
      </w:r>
    </w:p>
    <w:p w:rsidR="008D2741" w:rsidRDefault="008D2741" w:rsidP="00A77A7B">
      <w:pPr>
        <w:rPr>
          <w:rFonts w:ascii="Arial" w:hAnsi="Arial" w:cs="Arial"/>
          <w:sz w:val="22"/>
          <w:szCs w:val="22"/>
        </w:rPr>
      </w:pPr>
    </w:p>
    <w:p w:rsidR="00A77A7B" w:rsidRPr="00E228B3" w:rsidRDefault="00987AC7" w:rsidP="00792419">
      <w:pPr>
        <w:rPr>
          <w:rFonts w:ascii="Arial" w:hAnsi="Arial" w:cs="Arial"/>
          <w:sz w:val="22"/>
          <w:szCs w:val="22"/>
        </w:rPr>
      </w:pPr>
      <w:r>
        <w:rPr>
          <w:rFonts w:ascii="Arial" w:hAnsi="Arial" w:cs="Arial"/>
          <w:sz w:val="22"/>
          <w:szCs w:val="22"/>
        </w:rPr>
        <w:t>It should be noted that the research methods training provide</w:t>
      </w:r>
      <w:r w:rsidR="00770734">
        <w:rPr>
          <w:rFonts w:ascii="Arial" w:hAnsi="Arial" w:cs="Arial"/>
          <w:sz w:val="22"/>
          <w:szCs w:val="22"/>
        </w:rPr>
        <w:t>d to</w:t>
      </w:r>
      <w:r>
        <w:rPr>
          <w:rFonts w:ascii="Arial" w:hAnsi="Arial" w:cs="Arial"/>
          <w:sz w:val="22"/>
          <w:szCs w:val="22"/>
        </w:rPr>
        <w:t xml:space="preserve"> undergraduate BSc Psychology students </w:t>
      </w:r>
      <w:r w:rsidR="00F94DF1">
        <w:rPr>
          <w:rFonts w:ascii="Arial" w:hAnsi="Arial" w:cs="Arial"/>
          <w:sz w:val="22"/>
          <w:szCs w:val="22"/>
        </w:rPr>
        <w:t xml:space="preserve">at Sheffield Hallam University </w:t>
      </w:r>
      <w:r>
        <w:rPr>
          <w:rFonts w:ascii="Arial" w:hAnsi="Arial" w:cs="Arial"/>
          <w:sz w:val="22"/>
          <w:szCs w:val="22"/>
        </w:rPr>
        <w:t xml:space="preserve">does not involve hand calculations </w:t>
      </w:r>
      <w:r w:rsidR="009D081A">
        <w:rPr>
          <w:rFonts w:ascii="Arial" w:hAnsi="Arial" w:cs="Arial"/>
          <w:sz w:val="22"/>
          <w:szCs w:val="22"/>
        </w:rPr>
        <w:t xml:space="preserve">as the </w:t>
      </w:r>
      <w:r>
        <w:rPr>
          <w:rFonts w:ascii="Arial" w:hAnsi="Arial" w:cs="Arial"/>
          <w:sz w:val="22"/>
          <w:szCs w:val="22"/>
        </w:rPr>
        <w:t xml:space="preserve">aim </w:t>
      </w:r>
      <w:r w:rsidR="009D081A">
        <w:rPr>
          <w:rFonts w:ascii="Arial" w:hAnsi="Arial" w:cs="Arial"/>
          <w:sz w:val="22"/>
          <w:szCs w:val="22"/>
        </w:rPr>
        <w:t xml:space="preserve">is </w:t>
      </w:r>
      <w:r>
        <w:rPr>
          <w:rFonts w:ascii="Arial" w:hAnsi="Arial" w:cs="Arial"/>
          <w:sz w:val="22"/>
          <w:szCs w:val="22"/>
        </w:rPr>
        <w:t xml:space="preserve">for </w:t>
      </w:r>
      <w:r w:rsidR="009D081A">
        <w:rPr>
          <w:rFonts w:ascii="Arial" w:hAnsi="Arial" w:cs="Arial"/>
          <w:sz w:val="22"/>
          <w:szCs w:val="22"/>
        </w:rPr>
        <w:t xml:space="preserve">students to gain </w:t>
      </w:r>
      <w:r>
        <w:rPr>
          <w:rFonts w:ascii="Arial" w:hAnsi="Arial" w:cs="Arial"/>
          <w:sz w:val="22"/>
          <w:szCs w:val="22"/>
        </w:rPr>
        <w:t>a conceptual understanding of the statistical techniques cover</w:t>
      </w:r>
      <w:r w:rsidR="009D081A">
        <w:rPr>
          <w:rFonts w:ascii="Arial" w:hAnsi="Arial" w:cs="Arial"/>
          <w:sz w:val="22"/>
          <w:szCs w:val="22"/>
        </w:rPr>
        <w:t>ed</w:t>
      </w:r>
      <w:r>
        <w:rPr>
          <w:rFonts w:ascii="Arial" w:hAnsi="Arial" w:cs="Arial"/>
          <w:sz w:val="22"/>
          <w:szCs w:val="22"/>
        </w:rPr>
        <w:t xml:space="preserve">. However, </w:t>
      </w:r>
      <w:r w:rsidR="00792419">
        <w:rPr>
          <w:rFonts w:ascii="Arial" w:hAnsi="Arial" w:cs="Arial"/>
          <w:sz w:val="22"/>
          <w:szCs w:val="22"/>
        </w:rPr>
        <w:t>there are still</w:t>
      </w:r>
      <w:r>
        <w:rPr>
          <w:rFonts w:ascii="Arial" w:hAnsi="Arial" w:cs="Arial"/>
          <w:sz w:val="22"/>
          <w:szCs w:val="22"/>
        </w:rPr>
        <w:t xml:space="preserve"> very high levels of statistics anxiety among our students and this has an impact upon their willingness to engage with the materials and activities presented in the laboratory classes. It is with this in mind that the</w:t>
      </w:r>
      <w:r w:rsidR="00A77A7B" w:rsidRPr="00E228B3">
        <w:rPr>
          <w:rFonts w:ascii="Arial" w:hAnsi="Arial" w:cs="Arial"/>
          <w:sz w:val="22"/>
          <w:szCs w:val="22"/>
        </w:rPr>
        <w:t xml:space="preserve"> current project was</w:t>
      </w:r>
      <w:r>
        <w:rPr>
          <w:rFonts w:ascii="Arial" w:hAnsi="Arial" w:cs="Arial"/>
          <w:sz w:val="22"/>
          <w:szCs w:val="22"/>
        </w:rPr>
        <w:t xml:space="preserve"> designed</w:t>
      </w:r>
      <w:r w:rsidR="00A77A7B" w:rsidRPr="00E228B3">
        <w:rPr>
          <w:rFonts w:ascii="Arial" w:hAnsi="Arial" w:cs="Arial"/>
          <w:sz w:val="22"/>
          <w:szCs w:val="22"/>
        </w:rPr>
        <w:t xml:space="preserve"> to provide students with positive mathematics experiences</w:t>
      </w:r>
      <w:r w:rsidR="00A76294">
        <w:rPr>
          <w:rFonts w:ascii="Arial" w:hAnsi="Arial" w:cs="Arial"/>
          <w:sz w:val="22"/>
          <w:szCs w:val="22"/>
        </w:rPr>
        <w:t>,</w:t>
      </w:r>
      <w:r w:rsidR="00A77A7B" w:rsidRPr="00E228B3">
        <w:rPr>
          <w:rFonts w:ascii="Arial" w:hAnsi="Arial" w:cs="Arial"/>
          <w:sz w:val="22"/>
          <w:szCs w:val="22"/>
        </w:rPr>
        <w:t xml:space="preserve"> and to try to improve their self-confidence</w:t>
      </w:r>
      <w:r w:rsidR="00770734">
        <w:rPr>
          <w:rFonts w:ascii="Arial" w:hAnsi="Arial" w:cs="Arial"/>
          <w:sz w:val="22"/>
          <w:szCs w:val="22"/>
        </w:rPr>
        <w:t xml:space="preserve"> in </w:t>
      </w:r>
      <w:r w:rsidR="00F94DF1">
        <w:rPr>
          <w:rFonts w:ascii="Arial" w:hAnsi="Arial" w:cs="Arial"/>
          <w:sz w:val="22"/>
          <w:szCs w:val="22"/>
        </w:rPr>
        <w:t>dealing with mathematical concepts</w:t>
      </w:r>
      <w:r w:rsidR="00A77A7B" w:rsidRPr="00E228B3">
        <w:rPr>
          <w:rFonts w:ascii="Arial" w:hAnsi="Arial" w:cs="Arial"/>
          <w:sz w:val="22"/>
          <w:szCs w:val="22"/>
        </w:rPr>
        <w:t xml:space="preserve">. </w:t>
      </w:r>
    </w:p>
    <w:p w:rsidR="00633189" w:rsidRPr="00E228B3" w:rsidRDefault="00633189">
      <w:pPr>
        <w:rPr>
          <w:rFonts w:ascii="Arial" w:hAnsi="Arial" w:cs="Arial"/>
          <w:b/>
          <w:sz w:val="22"/>
          <w:szCs w:val="22"/>
          <w:lang w:val="en-GB"/>
        </w:rPr>
      </w:pPr>
    </w:p>
    <w:p w:rsidR="005D492E" w:rsidRPr="00E228B3" w:rsidRDefault="00003A25" w:rsidP="00003A25">
      <w:pPr>
        <w:rPr>
          <w:rFonts w:ascii="Arial" w:hAnsi="Arial" w:cs="Arial"/>
          <w:b/>
          <w:sz w:val="22"/>
          <w:szCs w:val="22"/>
          <w:lang w:val="en-GB"/>
        </w:rPr>
      </w:pPr>
      <w:r>
        <w:rPr>
          <w:rFonts w:ascii="Arial" w:hAnsi="Arial" w:cs="Arial"/>
          <w:b/>
          <w:sz w:val="22"/>
          <w:szCs w:val="22"/>
          <w:lang w:val="en-GB"/>
        </w:rPr>
        <w:t>Aims and objectives</w:t>
      </w:r>
    </w:p>
    <w:p w:rsidR="00A77A7B" w:rsidRPr="00E228B3" w:rsidRDefault="00A77A7B" w:rsidP="00770734">
      <w:pPr>
        <w:rPr>
          <w:rFonts w:ascii="Arial" w:hAnsi="Arial" w:cs="Arial"/>
          <w:sz w:val="22"/>
          <w:szCs w:val="22"/>
        </w:rPr>
      </w:pPr>
      <w:r w:rsidRPr="00E228B3">
        <w:rPr>
          <w:rFonts w:ascii="Arial" w:hAnsi="Arial" w:cs="Arial"/>
          <w:sz w:val="22"/>
          <w:szCs w:val="22"/>
        </w:rPr>
        <w:t xml:space="preserve">The </w:t>
      </w:r>
      <w:r w:rsidR="00987AC7">
        <w:rPr>
          <w:rFonts w:ascii="Arial" w:hAnsi="Arial" w:cs="Arial"/>
          <w:sz w:val="22"/>
          <w:szCs w:val="22"/>
        </w:rPr>
        <w:t>aim of the project was</w:t>
      </w:r>
      <w:r w:rsidRPr="00E228B3">
        <w:rPr>
          <w:rFonts w:ascii="Arial" w:hAnsi="Arial" w:cs="Arial"/>
          <w:sz w:val="22"/>
          <w:szCs w:val="22"/>
        </w:rPr>
        <w:t xml:space="preserve"> to develop online resources to help improve maths self-confidence </w:t>
      </w:r>
      <w:r w:rsidR="00383F41">
        <w:rPr>
          <w:rFonts w:ascii="Arial" w:hAnsi="Arial" w:cs="Arial"/>
          <w:sz w:val="22"/>
          <w:szCs w:val="22"/>
        </w:rPr>
        <w:t>skills in dealing with mathematical concepts</w:t>
      </w:r>
      <w:r w:rsidRPr="00E228B3">
        <w:rPr>
          <w:rFonts w:ascii="Arial" w:hAnsi="Arial" w:cs="Arial"/>
          <w:sz w:val="22"/>
          <w:szCs w:val="22"/>
        </w:rPr>
        <w:t xml:space="preserve">. In order to do this the plan </w:t>
      </w:r>
      <w:r w:rsidR="00987AC7">
        <w:rPr>
          <w:rFonts w:ascii="Arial" w:hAnsi="Arial" w:cs="Arial"/>
          <w:sz w:val="22"/>
          <w:szCs w:val="22"/>
        </w:rPr>
        <w:t>was</w:t>
      </w:r>
      <w:r w:rsidRPr="00E228B3">
        <w:rPr>
          <w:rFonts w:ascii="Arial" w:hAnsi="Arial" w:cs="Arial"/>
          <w:sz w:val="22"/>
          <w:szCs w:val="22"/>
        </w:rPr>
        <w:t xml:space="preserve"> to develop:</w:t>
      </w:r>
    </w:p>
    <w:p w:rsidR="00A77A7B" w:rsidRPr="00E228B3" w:rsidRDefault="00A77A7B" w:rsidP="00A77A7B">
      <w:pPr>
        <w:rPr>
          <w:rFonts w:ascii="Arial" w:hAnsi="Arial" w:cs="Arial"/>
          <w:sz w:val="22"/>
          <w:szCs w:val="22"/>
        </w:rPr>
      </w:pPr>
    </w:p>
    <w:p w:rsidR="00A77A7B" w:rsidRPr="00E228B3" w:rsidRDefault="00A77A7B" w:rsidP="00A77A7B">
      <w:pPr>
        <w:numPr>
          <w:ilvl w:val="0"/>
          <w:numId w:val="3"/>
        </w:numPr>
        <w:rPr>
          <w:rFonts w:ascii="Arial" w:hAnsi="Arial" w:cs="Arial"/>
          <w:sz w:val="22"/>
          <w:szCs w:val="22"/>
        </w:rPr>
      </w:pPr>
      <w:r w:rsidRPr="00E228B3">
        <w:rPr>
          <w:rFonts w:ascii="Arial" w:hAnsi="Arial" w:cs="Arial"/>
          <w:sz w:val="22"/>
          <w:szCs w:val="22"/>
        </w:rPr>
        <w:t>Online study guides</w:t>
      </w:r>
    </w:p>
    <w:p w:rsidR="00A77A7B" w:rsidRPr="00E228B3" w:rsidRDefault="00A77A7B" w:rsidP="00A77A7B">
      <w:pPr>
        <w:numPr>
          <w:ilvl w:val="0"/>
          <w:numId w:val="3"/>
        </w:numPr>
        <w:rPr>
          <w:rFonts w:ascii="Arial" w:hAnsi="Arial" w:cs="Arial"/>
          <w:sz w:val="22"/>
          <w:szCs w:val="22"/>
        </w:rPr>
      </w:pPr>
      <w:r w:rsidRPr="00E228B3">
        <w:rPr>
          <w:rFonts w:ascii="Arial" w:hAnsi="Arial" w:cs="Arial"/>
          <w:sz w:val="22"/>
          <w:szCs w:val="22"/>
        </w:rPr>
        <w:t>Online self-test assessments</w:t>
      </w:r>
    </w:p>
    <w:p w:rsidR="00A77A7B" w:rsidRPr="00E228B3" w:rsidRDefault="00A77A7B" w:rsidP="00A77A7B">
      <w:pPr>
        <w:numPr>
          <w:ilvl w:val="0"/>
          <w:numId w:val="3"/>
        </w:numPr>
        <w:rPr>
          <w:rFonts w:ascii="Arial" w:hAnsi="Arial" w:cs="Arial"/>
          <w:sz w:val="22"/>
          <w:szCs w:val="22"/>
        </w:rPr>
      </w:pPr>
      <w:r w:rsidRPr="00E228B3">
        <w:rPr>
          <w:rFonts w:ascii="Arial" w:hAnsi="Arial" w:cs="Arial"/>
          <w:sz w:val="22"/>
          <w:szCs w:val="22"/>
        </w:rPr>
        <w:t>Online feedback discussion board</w:t>
      </w:r>
    </w:p>
    <w:p w:rsidR="00A77A7B" w:rsidRPr="00E228B3" w:rsidRDefault="00A77A7B" w:rsidP="00A77A7B">
      <w:pPr>
        <w:rPr>
          <w:rFonts w:ascii="Arial" w:hAnsi="Arial" w:cs="Arial"/>
          <w:sz w:val="22"/>
          <w:szCs w:val="22"/>
        </w:rPr>
      </w:pPr>
    </w:p>
    <w:p w:rsidR="00A77A7B" w:rsidRDefault="00A77A7B" w:rsidP="00A77A7B">
      <w:pPr>
        <w:rPr>
          <w:rFonts w:ascii="Arial" w:hAnsi="Arial" w:cs="Arial"/>
          <w:sz w:val="22"/>
          <w:szCs w:val="22"/>
        </w:rPr>
      </w:pPr>
      <w:r w:rsidRPr="00E228B3">
        <w:rPr>
          <w:rFonts w:ascii="Arial" w:hAnsi="Arial" w:cs="Arial"/>
          <w:sz w:val="22"/>
          <w:szCs w:val="22"/>
        </w:rPr>
        <w:t xml:space="preserve">The online resources </w:t>
      </w:r>
      <w:r w:rsidR="00987AC7">
        <w:rPr>
          <w:rFonts w:ascii="Arial" w:hAnsi="Arial" w:cs="Arial"/>
          <w:sz w:val="22"/>
          <w:szCs w:val="22"/>
        </w:rPr>
        <w:t>were made</w:t>
      </w:r>
      <w:r w:rsidRPr="00E228B3">
        <w:rPr>
          <w:rFonts w:ascii="Arial" w:hAnsi="Arial" w:cs="Arial"/>
          <w:sz w:val="22"/>
          <w:szCs w:val="22"/>
        </w:rPr>
        <w:t xml:space="preserve"> available through the level 4 research methods and statistics module Blackboard site</w:t>
      </w:r>
      <w:r w:rsidR="00944A19">
        <w:rPr>
          <w:rFonts w:ascii="Arial" w:hAnsi="Arial" w:cs="Arial"/>
          <w:sz w:val="22"/>
          <w:szCs w:val="22"/>
        </w:rPr>
        <w:t xml:space="preserve"> (see Figure 1 for example)</w:t>
      </w:r>
      <w:r w:rsidRPr="00E228B3">
        <w:rPr>
          <w:rFonts w:ascii="Arial" w:hAnsi="Arial" w:cs="Arial"/>
          <w:sz w:val="22"/>
          <w:szCs w:val="22"/>
        </w:rPr>
        <w:t>.</w:t>
      </w:r>
    </w:p>
    <w:p w:rsidR="00944A19" w:rsidRDefault="00944A19" w:rsidP="00A77A7B">
      <w:pPr>
        <w:rPr>
          <w:rFonts w:ascii="Arial" w:hAnsi="Arial" w:cs="Arial"/>
          <w:sz w:val="22"/>
          <w:szCs w:val="22"/>
        </w:rPr>
      </w:pPr>
    </w:p>
    <w:p w:rsidR="00944A19" w:rsidRDefault="00A76294" w:rsidP="00A77A7B">
      <w:pPr>
        <w:rPr>
          <w:rFonts w:ascii="Arial" w:hAnsi="Arial" w:cs="Arial"/>
          <w:sz w:val="22"/>
          <w:szCs w:val="22"/>
          <w:lang w:val="en-GB"/>
        </w:rPr>
      </w:pPr>
      <w:r>
        <w:rPr>
          <w:rFonts w:ascii="Arial" w:hAnsi="Arial" w:cs="Arial"/>
          <w:noProof/>
          <w:sz w:val="22"/>
          <w:szCs w:val="22"/>
          <w:lang w:val="en-GB" w:eastAsia="zh-CN"/>
        </w:rPr>
        <w:lastRenderedPageBreak/>
        <w:drawing>
          <wp:inline distT="0" distB="0" distL="0" distR="0">
            <wp:extent cx="5252416" cy="3800475"/>
            <wp:effectExtent l="5384" t="0" r="0" b="0"/>
            <wp:docPr id="1"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26200" cy="4819650"/>
                      <a:chOff x="8413750" y="4260850"/>
                      <a:chExt cx="6426200" cy="4819650"/>
                    </a:xfrm>
                  </a:grpSpPr>
                  <a:pic>
                    <a:nvPicPr>
                      <a:cNvPr id="2062" name="Picture 14"/>
                      <a:cNvPicPr>
                        <a:picLocks noChangeAspect="1" noChangeArrowheads="1"/>
                      </a:cNvPicPr>
                    </a:nvPicPr>
                    <a:blipFill>
                      <a:blip r:embed="rId6"/>
                      <a:srcRect/>
                      <a:stretch>
                        <a:fillRect/>
                      </a:stretch>
                    </a:blipFill>
                    <a:spPr bwMode="auto">
                      <a:xfrm>
                        <a:off x="8413750" y="4260850"/>
                        <a:ext cx="6426200" cy="4819650"/>
                      </a:xfrm>
                      <a:prstGeom prst="rect">
                        <a:avLst/>
                      </a:prstGeom>
                      <a:noFill/>
                      <a:ln w="9525">
                        <a:noFill/>
                        <a:miter lim="800000"/>
                        <a:headEnd/>
                        <a:tailEnd/>
                      </a:ln>
                      <a:effectLst/>
                    </a:spPr>
                  </a:pic>
                  <a:sp>
                    <a:nvSpPr>
                      <a:cNvPr id="2063" name="AutoShape 15"/>
                      <a:cNvSpPr>
                        <a:spLocks/>
                      </a:cNvSpPr>
                    </a:nvSpPr>
                    <a:spPr bwMode="auto">
                      <a:xfrm>
                        <a:off x="9772650" y="6856413"/>
                        <a:ext cx="1879600" cy="1016000"/>
                      </a:xfrm>
                      <a:prstGeom prst="borderCallout2">
                        <a:avLst>
                          <a:gd name="adj1" fmla="val 11250"/>
                          <a:gd name="adj2" fmla="val -4056"/>
                          <a:gd name="adj3" fmla="val 11250"/>
                          <a:gd name="adj4" fmla="val -28292"/>
                          <a:gd name="adj5" fmla="val 24843"/>
                          <a:gd name="adj6" fmla="val -53630"/>
                        </a:avLst>
                      </a:prstGeom>
                      <a:solidFill>
                        <a:schemeClr val="accent1"/>
                      </a:solidFill>
                      <a:ln w="9525">
                        <a:solidFill>
                          <a:schemeClr val="tx1"/>
                        </a:solidFill>
                        <a:miter lim="800000"/>
                        <a:headEnd/>
                        <a:tailEnd type="stealth" w="med" len="med"/>
                      </a:ln>
                      <a:effectLst/>
                    </a:spPr>
                    <a:txSp>
                      <a:txBody>
                        <a:bodyPr/>
                        <a:lstStyle>
                          <a:defPPr>
                            <a:defRPr lang="en-GB"/>
                          </a:defPPr>
                          <a:lvl1pPr algn="l" rtl="0" fontAlgn="base">
                            <a:spcBef>
                              <a:spcPct val="0"/>
                            </a:spcBef>
                            <a:spcAft>
                              <a:spcPct val="0"/>
                            </a:spcAft>
                            <a:defRPr sz="5800" kern="1200">
                              <a:solidFill>
                                <a:schemeClr val="tx1"/>
                              </a:solidFill>
                              <a:latin typeface="Arial" charset="0"/>
                              <a:ea typeface="+mn-ea"/>
                              <a:cs typeface="Arial" charset="0"/>
                            </a:defRPr>
                          </a:lvl1pPr>
                          <a:lvl2pPr marL="457200" algn="l" rtl="0" fontAlgn="base">
                            <a:spcBef>
                              <a:spcPct val="0"/>
                            </a:spcBef>
                            <a:spcAft>
                              <a:spcPct val="0"/>
                            </a:spcAft>
                            <a:defRPr sz="5800" kern="1200">
                              <a:solidFill>
                                <a:schemeClr val="tx1"/>
                              </a:solidFill>
                              <a:latin typeface="Arial" charset="0"/>
                              <a:ea typeface="+mn-ea"/>
                              <a:cs typeface="Arial" charset="0"/>
                            </a:defRPr>
                          </a:lvl2pPr>
                          <a:lvl3pPr marL="914400" algn="l" rtl="0" fontAlgn="base">
                            <a:spcBef>
                              <a:spcPct val="0"/>
                            </a:spcBef>
                            <a:spcAft>
                              <a:spcPct val="0"/>
                            </a:spcAft>
                            <a:defRPr sz="5800" kern="1200">
                              <a:solidFill>
                                <a:schemeClr val="tx1"/>
                              </a:solidFill>
                              <a:latin typeface="Arial" charset="0"/>
                              <a:ea typeface="+mn-ea"/>
                              <a:cs typeface="Arial" charset="0"/>
                            </a:defRPr>
                          </a:lvl3pPr>
                          <a:lvl4pPr marL="1371600" algn="l" rtl="0" fontAlgn="base">
                            <a:spcBef>
                              <a:spcPct val="0"/>
                            </a:spcBef>
                            <a:spcAft>
                              <a:spcPct val="0"/>
                            </a:spcAft>
                            <a:defRPr sz="5800" kern="1200">
                              <a:solidFill>
                                <a:schemeClr val="tx1"/>
                              </a:solidFill>
                              <a:latin typeface="Arial" charset="0"/>
                              <a:ea typeface="+mn-ea"/>
                              <a:cs typeface="Arial" charset="0"/>
                            </a:defRPr>
                          </a:lvl4pPr>
                          <a:lvl5pPr marL="1828800" algn="l" rtl="0" fontAlgn="base">
                            <a:spcBef>
                              <a:spcPct val="0"/>
                            </a:spcBef>
                            <a:spcAft>
                              <a:spcPct val="0"/>
                            </a:spcAft>
                            <a:defRPr sz="5800" kern="1200">
                              <a:solidFill>
                                <a:schemeClr val="tx1"/>
                              </a:solidFill>
                              <a:latin typeface="Arial" charset="0"/>
                              <a:ea typeface="+mn-ea"/>
                              <a:cs typeface="Arial" charset="0"/>
                            </a:defRPr>
                          </a:lvl5pPr>
                          <a:lvl6pPr marL="2286000" algn="l" defTabSz="914400" rtl="0" eaLnBrk="1" latinLnBrk="0" hangingPunct="1">
                            <a:defRPr sz="5800" kern="1200">
                              <a:solidFill>
                                <a:schemeClr val="tx1"/>
                              </a:solidFill>
                              <a:latin typeface="Arial" charset="0"/>
                              <a:ea typeface="+mn-ea"/>
                              <a:cs typeface="Arial" charset="0"/>
                            </a:defRPr>
                          </a:lvl6pPr>
                          <a:lvl7pPr marL="2743200" algn="l" defTabSz="914400" rtl="0" eaLnBrk="1" latinLnBrk="0" hangingPunct="1">
                            <a:defRPr sz="5800" kern="1200">
                              <a:solidFill>
                                <a:schemeClr val="tx1"/>
                              </a:solidFill>
                              <a:latin typeface="Arial" charset="0"/>
                              <a:ea typeface="+mn-ea"/>
                              <a:cs typeface="Arial" charset="0"/>
                            </a:defRPr>
                          </a:lvl7pPr>
                          <a:lvl8pPr marL="3200400" algn="l" defTabSz="914400" rtl="0" eaLnBrk="1" latinLnBrk="0" hangingPunct="1">
                            <a:defRPr sz="5800" kern="1200">
                              <a:solidFill>
                                <a:schemeClr val="tx1"/>
                              </a:solidFill>
                              <a:latin typeface="Arial" charset="0"/>
                              <a:ea typeface="+mn-ea"/>
                              <a:cs typeface="Arial" charset="0"/>
                            </a:defRPr>
                          </a:lvl8pPr>
                          <a:lvl9pPr marL="3657600" algn="l" defTabSz="914400" rtl="0" eaLnBrk="1" latinLnBrk="0" hangingPunct="1">
                            <a:defRPr sz="5800" kern="1200">
                              <a:solidFill>
                                <a:schemeClr val="tx1"/>
                              </a:solidFill>
                              <a:latin typeface="Arial" charset="0"/>
                              <a:ea typeface="+mn-ea"/>
                              <a:cs typeface="Arial" charset="0"/>
                            </a:defRPr>
                          </a:lvl9pPr>
                        </a:lstStyle>
                        <a:p>
                          <a:pPr algn="ctr" defTabSz="2952750"/>
                          <a:r>
                            <a:rPr lang="en-US" sz="2000"/>
                            <a:t>‘Maths Thinking Skills’ Resources</a:t>
                          </a:r>
                        </a:p>
                      </a:txBody>
                      <a:useSpRect/>
                    </a:txSp>
                  </a:sp>
                </lc:lockedCanvas>
              </a:graphicData>
            </a:graphic>
          </wp:inline>
        </w:drawing>
      </w:r>
    </w:p>
    <w:p w:rsidR="00944A19" w:rsidRDefault="00944A19" w:rsidP="00A77A7B">
      <w:pPr>
        <w:rPr>
          <w:rFonts w:ascii="Arial" w:hAnsi="Arial" w:cs="Arial"/>
          <w:sz w:val="22"/>
          <w:szCs w:val="22"/>
          <w:lang w:val="en-GB"/>
        </w:rPr>
      </w:pPr>
    </w:p>
    <w:p w:rsidR="00944A19" w:rsidRPr="00944A19" w:rsidRDefault="00944A19" w:rsidP="00A77A7B">
      <w:pPr>
        <w:rPr>
          <w:rFonts w:ascii="Arial" w:hAnsi="Arial" w:cs="Arial"/>
          <w:i/>
          <w:sz w:val="22"/>
          <w:szCs w:val="22"/>
          <w:lang w:val="en-GB"/>
        </w:rPr>
      </w:pPr>
      <w:r>
        <w:rPr>
          <w:rFonts w:ascii="Arial" w:hAnsi="Arial" w:cs="Arial"/>
          <w:i/>
          <w:sz w:val="22"/>
          <w:szCs w:val="22"/>
          <w:lang w:val="en-GB"/>
        </w:rPr>
        <w:t>Figure 1. Screenshot illustrating the availability of the student resources via Blackboard.</w:t>
      </w:r>
    </w:p>
    <w:p w:rsidR="00944A19" w:rsidRDefault="00944A19" w:rsidP="00A77A7B">
      <w:pPr>
        <w:rPr>
          <w:rFonts w:ascii="Arial" w:hAnsi="Arial" w:cs="Arial"/>
          <w:sz w:val="22"/>
          <w:szCs w:val="22"/>
          <w:lang w:val="en-GB"/>
        </w:rPr>
      </w:pPr>
    </w:p>
    <w:p w:rsidR="005D492E" w:rsidRPr="00E228B3" w:rsidRDefault="00E228B3" w:rsidP="00E228B3">
      <w:pPr>
        <w:rPr>
          <w:rFonts w:ascii="Arial" w:hAnsi="Arial" w:cs="Arial"/>
          <w:b/>
          <w:sz w:val="22"/>
          <w:szCs w:val="22"/>
          <w:lang w:val="en-GB"/>
        </w:rPr>
      </w:pPr>
      <w:r w:rsidRPr="00E228B3">
        <w:rPr>
          <w:rFonts w:ascii="Arial" w:hAnsi="Arial" w:cs="Arial"/>
          <w:b/>
          <w:sz w:val="22"/>
          <w:szCs w:val="22"/>
          <w:lang w:val="en-GB"/>
        </w:rPr>
        <w:t>Method</w:t>
      </w:r>
    </w:p>
    <w:p w:rsidR="005D492E" w:rsidRPr="00E228B3" w:rsidRDefault="005D492E" w:rsidP="005F55EC">
      <w:pPr>
        <w:rPr>
          <w:rFonts w:ascii="Arial" w:hAnsi="Arial" w:cs="Arial"/>
          <w:sz w:val="22"/>
          <w:szCs w:val="22"/>
          <w:lang w:val="en-GB"/>
        </w:rPr>
      </w:pPr>
    </w:p>
    <w:p w:rsidR="00A77A7B" w:rsidRPr="00E228B3" w:rsidRDefault="00A77A7B" w:rsidP="00F80801">
      <w:pPr>
        <w:rPr>
          <w:rFonts w:ascii="Arial" w:hAnsi="Arial" w:cs="Arial"/>
          <w:sz w:val="22"/>
          <w:szCs w:val="22"/>
          <w:lang w:val="en-GB"/>
        </w:rPr>
      </w:pPr>
      <w:r w:rsidRPr="00E228B3">
        <w:rPr>
          <w:rFonts w:ascii="Arial" w:hAnsi="Arial" w:cs="Arial"/>
          <w:sz w:val="22"/>
          <w:szCs w:val="22"/>
          <w:lang w:val="en-GB"/>
        </w:rPr>
        <w:t xml:space="preserve">At the start of the academic year students </w:t>
      </w:r>
      <w:r w:rsidR="00987AC7">
        <w:rPr>
          <w:rFonts w:ascii="Arial" w:hAnsi="Arial" w:cs="Arial"/>
          <w:sz w:val="22"/>
          <w:szCs w:val="22"/>
          <w:lang w:val="en-GB"/>
        </w:rPr>
        <w:t>were</w:t>
      </w:r>
      <w:r w:rsidRPr="00E228B3">
        <w:rPr>
          <w:rFonts w:ascii="Arial" w:hAnsi="Arial" w:cs="Arial"/>
          <w:sz w:val="22"/>
          <w:szCs w:val="22"/>
          <w:lang w:val="en-GB"/>
        </w:rPr>
        <w:t xml:space="preserve"> provided with an overview of the resources as well as an online guide to their use. The students </w:t>
      </w:r>
      <w:r w:rsidR="00987AC7">
        <w:rPr>
          <w:rFonts w:ascii="Arial" w:hAnsi="Arial" w:cs="Arial"/>
          <w:sz w:val="22"/>
          <w:szCs w:val="22"/>
          <w:lang w:val="en-GB"/>
        </w:rPr>
        <w:t>were</w:t>
      </w:r>
      <w:r w:rsidRPr="00E228B3">
        <w:rPr>
          <w:rFonts w:ascii="Arial" w:hAnsi="Arial" w:cs="Arial"/>
          <w:sz w:val="22"/>
          <w:szCs w:val="22"/>
          <w:lang w:val="en-GB"/>
        </w:rPr>
        <w:t xml:space="preserve"> also asked to complete a maths skills test along with some psychometric measures of their mathematics anxiety, maths self-confidence and the general levels of anxiety (trait anxiety). These </w:t>
      </w:r>
      <w:r w:rsidR="00987AC7">
        <w:rPr>
          <w:rFonts w:ascii="Arial" w:hAnsi="Arial" w:cs="Arial"/>
          <w:sz w:val="22"/>
          <w:szCs w:val="22"/>
          <w:lang w:val="en-GB"/>
        </w:rPr>
        <w:t>were to</w:t>
      </w:r>
      <w:r w:rsidRPr="00E228B3">
        <w:rPr>
          <w:rFonts w:ascii="Arial" w:hAnsi="Arial" w:cs="Arial"/>
          <w:sz w:val="22"/>
          <w:szCs w:val="22"/>
          <w:lang w:val="en-GB"/>
        </w:rPr>
        <w:t xml:space="preserve"> be baseline measures impl</w:t>
      </w:r>
      <w:r w:rsidR="00987AC7">
        <w:rPr>
          <w:rFonts w:ascii="Arial" w:hAnsi="Arial" w:cs="Arial"/>
          <w:sz w:val="22"/>
          <w:szCs w:val="22"/>
          <w:lang w:val="en-GB"/>
        </w:rPr>
        <w:t xml:space="preserve">emented in order to appropriately </w:t>
      </w:r>
      <w:r w:rsidRPr="00E228B3">
        <w:rPr>
          <w:rFonts w:ascii="Arial" w:hAnsi="Arial" w:cs="Arial"/>
          <w:sz w:val="22"/>
          <w:szCs w:val="22"/>
          <w:lang w:val="en-GB"/>
        </w:rPr>
        <w:t>evaluate the usefulness of the online resources provided for the students.</w:t>
      </w:r>
    </w:p>
    <w:p w:rsidR="00A77A7B" w:rsidRPr="00E228B3" w:rsidRDefault="00A77A7B" w:rsidP="005F55EC">
      <w:pPr>
        <w:rPr>
          <w:rFonts w:ascii="Arial" w:hAnsi="Arial" w:cs="Arial"/>
          <w:sz w:val="22"/>
          <w:szCs w:val="22"/>
          <w:lang w:val="en-GB"/>
        </w:rPr>
      </w:pPr>
    </w:p>
    <w:p w:rsidR="00A77A7B" w:rsidRPr="00E228B3" w:rsidRDefault="00A77A7B" w:rsidP="00607555">
      <w:pPr>
        <w:rPr>
          <w:rFonts w:ascii="Arial" w:hAnsi="Arial" w:cs="Arial"/>
          <w:sz w:val="22"/>
          <w:szCs w:val="22"/>
        </w:rPr>
      </w:pPr>
      <w:r w:rsidRPr="00E228B3">
        <w:rPr>
          <w:rFonts w:ascii="Arial" w:hAnsi="Arial" w:cs="Arial"/>
          <w:sz w:val="22"/>
          <w:szCs w:val="22"/>
        </w:rPr>
        <w:t xml:space="preserve">The study guides </w:t>
      </w:r>
      <w:r w:rsidR="00987AC7">
        <w:rPr>
          <w:rFonts w:ascii="Arial" w:hAnsi="Arial" w:cs="Arial"/>
          <w:sz w:val="22"/>
          <w:szCs w:val="22"/>
        </w:rPr>
        <w:t>were</w:t>
      </w:r>
      <w:r w:rsidRPr="00E228B3">
        <w:rPr>
          <w:rFonts w:ascii="Arial" w:hAnsi="Arial" w:cs="Arial"/>
          <w:sz w:val="22"/>
          <w:szCs w:val="22"/>
        </w:rPr>
        <w:t xml:space="preserve"> designed to provide students with a basic overview of key mathematical concepts. For example, the first study guide covers some very basic characteristics of numbers. The intention here is not to teach students anything new </w:t>
      </w:r>
      <w:r w:rsidR="00383F41">
        <w:rPr>
          <w:rFonts w:ascii="Arial" w:hAnsi="Arial" w:cs="Arial"/>
          <w:sz w:val="22"/>
          <w:szCs w:val="22"/>
        </w:rPr>
        <w:t xml:space="preserve">about number theory </w:t>
      </w:r>
      <w:r w:rsidRPr="00E228B3">
        <w:rPr>
          <w:rFonts w:ascii="Arial" w:hAnsi="Arial" w:cs="Arial"/>
          <w:sz w:val="22"/>
          <w:szCs w:val="22"/>
        </w:rPr>
        <w:t xml:space="preserve">but to refresh their </w:t>
      </w:r>
      <w:r w:rsidR="00383F41">
        <w:rPr>
          <w:rFonts w:ascii="Arial" w:hAnsi="Arial" w:cs="Arial"/>
          <w:sz w:val="22"/>
          <w:szCs w:val="22"/>
        </w:rPr>
        <w:t xml:space="preserve">memory’s for what they had previously learnt </w:t>
      </w:r>
      <w:r w:rsidR="00792419">
        <w:rPr>
          <w:rFonts w:ascii="Arial" w:hAnsi="Arial" w:cs="Arial"/>
          <w:sz w:val="22"/>
          <w:szCs w:val="22"/>
        </w:rPr>
        <w:t xml:space="preserve">and </w:t>
      </w:r>
      <w:r w:rsidR="00792419" w:rsidRPr="00E228B3">
        <w:rPr>
          <w:rFonts w:ascii="Arial" w:hAnsi="Arial" w:cs="Arial"/>
          <w:sz w:val="22"/>
          <w:szCs w:val="22"/>
        </w:rPr>
        <w:t>to</w:t>
      </w:r>
      <w:r w:rsidRPr="00E228B3">
        <w:rPr>
          <w:rFonts w:ascii="Arial" w:hAnsi="Arial" w:cs="Arial"/>
          <w:sz w:val="22"/>
          <w:szCs w:val="22"/>
        </w:rPr>
        <w:t xml:space="preserve"> help </w:t>
      </w:r>
      <w:r w:rsidR="00383F41">
        <w:rPr>
          <w:rFonts w:ascii="Arial" w:hAnsi="Arial" w:cs="Arial"/>
          <w:sz w:val="22"/>
          <w:szCs w:val="22"/>
        </w:rPr>
        <w:t>them practice thinking about these basic mathematical concepts</w:t>
      </w:r>
      <w:r w:rsidRPr="00E228B3">
        <w:rPr>
          <w:rFonts w:ascii="Arial" w:hAnsi="Arial" w:cs="Arial"/>
          <w:sz w:val="22"/>
          <w:szCs w:val="22"/>
        </w:rPr>
        <w:t xml:space="preserve">. As </w:t>
      </w:r>
      <w:r w:rsidR="00987AC7">
        <w:rPr>
          <w:rFonts w:ascii="Arial" w:hAnsi="Arial" w:cs="Arial"/>
          <w:sz w:val="22"/>
          <w:szCs w:val="22"/>
        </w:rPr>
        <w:t>students</w:t>
      </w:r>
      <w:r w:rsidRPr="00E228B3">
        <w:rPr>
          <w:rFonts w:ascii="Arial" w:hAnsi="Arial" w:cs="Arial"/>
          <w:sz w:val="22"/>
          <w:szCs w:val="22"/>
        </w:rPr>
        <w:t xml:space="preserve"> progress</w:t>
      </w:r>
      <w:r w:rsidR="00792419">
        <w:rPr>
          <w:rFonts w:ascii="Arial" w:hAnsi="Arial" w:cs="Arial"/>
          <w:sz w:val="22"/>
          <w:szCs w:val="22"/>
        </w:rPr>
        <w:t>ed</w:t>
      </w:r>
      <w:r w:rsidRPr="00E228B3">
        <w:rPr>
          <w:rFonts w:ascii="Arial" w:hAnsi="Arial" w:cs="Arial"/>
          <w:sz w:val="22"/>
          <w:szCs w:val="22"/>
        </w:rPr>
        <w:t xml:space="preserve"> through the </w:t>
      </w:r>
      <w:r w:rsidR="00987AC7">
        <w:rPr>
          <w:rFonts w:ascii="Arial" w:hAnsi="Arial" w:cs="Arial"/>
          <w:sz w:val="22"/>
          <w:szCs w:val="22"/>
        </w:rPr>
        <w:t>year</w:t>
      </w:r>
      <w:r w:rsidRPr="00E228B3">
        <w:rPr>
          <w:rFonts w:ascii="Arial" w:hAnsi="Arial" w:cs="Arial"/>
          <w:sz w:val="22"/>
          <w:szCs w:val="22"/>
        </w:rPr>
        <w:t xml:space="preserve"> more study guides </w:t>
      </w:r>
      <w:r w:rsidR="00987AC7">
        <w:rPr>
          <w:rFonts w:ascii="Arial" w:hAnsi="Arial" w:cs="Arial"/>
          <w:sz w:val="22"/>
          <w:szCs w:val="22"/>
        </w:rPr>
        <w:t xml:space="preserve">were </w:t>
      </w:r>
      <w:r w:rsidRPr="00E228B3">
        <w:rPr>
          <w:rFonts w:ascii="Arial" w:hAnsi="Arial" w:cs="Arial"/>
          <w:sz w:val="22"/>
          <w:szCs w:val="22"/>
        </w:rPr>
        <w:t>released to link in with the statistical concepts being covered as part of the core statistics module.</w:t>
      </w:r>
    </w:p>
    <w:p w:rsidR="003603E5" w:rsidRPr="00E228B3" w:rsidRDefault="003603E5" w:rsidP="00A77A7B">
      <w:pPr>
        <w:rPr>
          <w:rFonts w:ascii="Arial" w:hAnsi="Arial" w:cs="Arial"/>
          <w:sz w:val="22"/>
          <w:szCs w:val="22"/>
        </w:rPr>
      </w:pPr>
    </w:p>
    <w:p w:rsidR="003603E5" w:rsidRPr="00E228B3" w:rsidRDefault="00D13027" w:rsidP="00D13027">
      <w:pPr>
        <w:rPr>
          <w:rFonts w:ascii="Arial" w:hAnsi="Arial" w:cs="Arial"/>
          <w:sz w:val="22"/>
          <w:szCs w:val="22"/>
        </w:rPr>
      </w:pPr>
      <w:r>
        <w:rPr>
          <w:rFonts w:ascii="Arial" w:hAnsi="Arial" w:cs="Arial"/>
          <w:sz w:val="22"/>
          <w:szCs w:val="22"/>
        </w:rPr>
        <w:t>I</w:t>
      </w:r>
      <w:r w:rsidR="00987AC7">
        <w:rPr>
          <w:rFonts w:ascii="Arial" w:hAnsi="Arial" w:cs="Arial"/>
          <w:sz w:val="22"/>
          <w:szCs w:val="22"/>
        </w:rPr>
        <w:t>t was intended that there would</w:t>
      </w:r>
      <w:r w:rsidR="003603E5" w:rsidRPr="00E228B3">
        <w:rPr>
          <w:rFonts w:ascii="Arial" w:hAnsi="Arial" w:cs="Arial"/>
          <w:sz w:val="22"/>
          <w:szCs w:val="22"/>
        </w:rPr>
        <w:t xml:space="preserve"> be a number of self-assessments delivered via Blackboard where students can test their understanding of the concepts introduced in each guide. The self-assessment tasks </w:t>
      </w:r>
      <w:r w:rsidR="00987AC7">
        <w:rPr>
          <w:rFonts w:ascii="Arial" w:hAnsi="Arial" w:cs="Arial"/>
          <w:sz w:val="22"/>
          <w:szCs w:val="22"/>
        </w:rPr>
        <w:t>were</w:t>
      </w:r>
      <w:r w:rsidR="003603E5" w:rsidRPr="00E228B3">
        <w:rPr>
          <w:rFonts w:ascii="Arial" w:hAnsi="Arial" w:cs="Arial"/>
          <w:sz w:val="22"/>
          <w:szCs w:val="22"/>
        </w:rPr>
        <w:t xml:space="preserve"> designed to enable students to undertake them as many times as </w:t>
      </w:r>
      <w:r>
        <w:rPr>
          <w:rFonts w:ascii="Arial" w:hAnsi="Arial" w:cs="Arial"/>
          <w:sz w:val="22"/>
          <w:szCs w:val="22"/>
        </w:rPr>
        <w:t>necessary</w:t>
      </w:r>
      <w:r w:rsidR="003603E5" w:rsidRPr="00E228B3">
        <w:rPr>
          <w:rFonts w:ascii="Arial" w:hAnsi="Arial" w:cs="Arial"/>
          <w:sz w:val="22"/>
          <w:szCs w:val="22"/>
        </w:rPr>
        <w:t xml:space="preserve">. The aim </w:t>
      </w:r>
      <w:r w:rsidR="00987AC7">
        <w:rPr>
          <w:rFonts w:ascii="Arial" w:hAnsi="Arial" w:cs="Arial"/>
          <w:sz w:val="22"/>
          <w:szCs w:val="22"/>
        </w:rPr>
        <w:t>was</w:t>
      </w:r>
      <w:r w:rsidR="003603E5" w:rsidRPr="00E228B3">
        <w:rPr>
          <w:rFonts w:ascii="Arial" w:hAnsi="Arial" w:cs="Arial"/>
          <w:sz w:val="22"/>
          <w:szCs w:val="22"/>
        </w:rPr>
        <w:t xml:space="preserve"> to get the students to think actively about the mathematical concepts. The difficulty levels of the assessments are tailored to ensure that the students experience success rather than failure. </w:t>
      </w:r>
      <w:r w:rsidR="00383F41">
        <w:rPr>
          <w:rFonts w:ascii="Arial" w:hAnsi="Arial" w:cs="Arial"/>
          <w:sz w:val="22"/>
          <w:szCs w:val="22"/>
        </w:rPr>
        <w:t>The intention with these self-assessment was to help</w:t>
      </w:r>
      <w:r w:rsidR="003603E5" w:rsidRPr="00E228B3">
        <w:rPr>
          <w:rFonts w:ascii="Arial" w:hAnsi="Arial" w:cs="Arial"/>
          <w:sz w:val="22"/>
          <w:szCs w:val="22"/>
        </w:rPr>
        <w:t xml:space="preserve"> students appreciate the mathematics skills that </w:t>
      </w:r>
      <w:r w:rsidR="00792419">
        <w:rPr>
          <w:rFonts w:ascii="Arial" w:hAnsi="Arial" w:cs="Arial"/>
          <w:sz w:val="22"/>
          <w:szCs w:val="22"/>
        </w:rPr>
        <w:t xml:space="preserve">they </w:t>
      </w:r>
      <w:r w:rsidR="003603E5" w:rsidRPr="00E228B3">
        <w:rPr>
          <w:rFonts w:ascii="Arial" w:hAnsi="Arial" w:cs="Arial"/>
          <w:sz w:val="22"/>
          <w:szCs w:val="22"/>
        </w:rPr>
        <w:t xml:space="preserve">have and to </w:t>
      </w:r>
      <w:r>
        <w:rPr>
          <w:rFonts w:ascii="Arial" w:hAnsi="Arial" w:cs="Arial"/>
          <w:sz w:val="22"/>
          <w:szCs w:val="22"/>
        </w:rPr>
        <w:t xml:space="preserve">gradually </w:t>
      </w:r>
      <w:r w:rsidR="003603E5" w:rsidRPr="00E228B3">
        <w:rPr>
          <w:rFonts w:ascii="Arial" w:hAnsi="Arial" w:cs="Arial"/>
          <w:sz w:val="22"/>
          <w:szCs w:val="22"/>
        </w:rPr>
        <w:t>build their confidence.</w:t>
      </w:r>
    </w:p>
    <w:p w:rsidR="00A77A7B" w:rsidRPr="00E228B3" w:rsidRDefault="00A77A7B" w:rsidP="00A77A7B">
      <w:pPr>
        <w:rPr>
          <w:rFonts w:ascii="Arial" w:hAnsi="Arial" w:cs="Arial"/>
          <w:sz w:val="22"/>
          <w:szCs w:val="22"/>
        </w:rPr>
      </w:pPr>
    </w:p>
    <w:p w:rsidR="00A97C1F" w:rsidRPr="00E228B3" w:rsidRDefault="00857DC6" w:rsidP="00D13027">
      <w:pPr>
        <w:rPr>
          <w:rFonts w:ascii="Arial" w:hAnsi="Arial" w:cs="Arial"/>
          <w:sz w:val="22"/>
          <w:szCs w:val="22"/>
        </w:rPr>
      </w:pPr>
      <w:r>
        <w:rPr>
          <w:rFonts w:ascii="Arial" w:hAnsi="Arial" w:cs="Arial"/>
          <w:sz w:val="22"/>
          <w:szCs w:val="22"/>
        </w:rPr>
        <w:t>Built in to the project design were specific means of providing evaluation of the effectiveness of the study guides and accompanying only assessments. At the start of the semester students completed a</w:t>
      </w:r>
      <w:r w:rsidR="00A77A7B" w:rsidRPr="00E228B3">
        <w:rPr>
          <w:rFonts w:ascii="Arial" w:hAnsi="Arial" w:cs="Arial"/>
          <w:sz w:val="22"/>
          <w:szCs w:val="22"/>
        </w:rPr>
        <w:t xml:space="preserve"> number of self-</w:t>
      </w:r>
      <w:r>
        <w:rPr>
          <w:rFonts w:ascii="Arial" w:hAnsi="Arial" w:cs="Arial"/>
          <w:sz w:val="22"/>
          <w:szCs w:val="22"/>
        </w:rPr>
        <w:t>report measures</w:t>
      </w:r>
      <w:r w:rsidR="00A77A7B" w:rsidRPr="00E228B3">
        <w:rPr>
          <w:rFonts w:ascii="Arial" w:hAnsi="Arial" w:cs="Arial"/>
          <w:sz w:val="22"/>
          <w:szCs w:val="22"/>
        </w:rPr>
        <w:t xml:space="preserve">. </w:t>
      </w:r>
      <w:r w:rsidR="00A97C1F" w:rsidRPr="00E228B3">
        <w:rPr>
          <w:rFonts w:ascii="Arial" w:hAnsi="Arial" w:cs="Arial"/>
          <w:sz w:val="22"/>
          <w:szCs w:val="22"/>
        </w:rPr>
        <w:t xml:space="preserve">Given the project </w:t>
      </w:r>
      <w:r w:rsidR="00A97C1F" w:rsidRPr="00E228B3">
        <w:rPr>
          <w:rFonts w:ascii="Arial" w:hAnsi="Arial" w:cs="Arial"/>
          <w:sz w:val="22"/>
          <w:szCs w:val="22"/>
        </w:rPr>
        <w:lastRenderedPageBreak/>
        <w:t>aimed to improve</w:t>
      </w:r>
      <w:r w:rsidR="00607555" w:rsidRPr="00607555">
        <w:rPr>
          <w:rFonts w:ascii="Arial" w:hAnsi="Arial" w:cs="Arial"/>
          <w:sz w:val="22"/>
          <w:szCs w:val="22"/>
        </w:rPr>
        <w:t xml:space="preserve"> </w:t>
      </w:r>
      <w:r w:rsidR="00607555" w:rsidRPr="00E228B3">
        <w:rPr>
          <w:rFonts w:ascii="Arial" w:hAnsi="Arial" w:cs="Arial"/>
          <w:sz w:val="22"/>
          <w:szCs w:val="22"/>
        </w:rPr>
        <w:t>self-confidence</w:t>
      </w:r>
      <w:r w:rsidR="00255EC6">
        <w:rPr>
          <w:rFonts w:ascii="Arial" w:hAnsi="Arial" w:cs="Arial"/>
          <w:sz w:val="22"/>
          <w:szCs w:val="22"/>
        </w:rPr>
        <w:t xml:space="preserve"> </w:t>
      </w:r>
      <w:r w:rsidR="00383F41">
        <w:rPr>
          <w:rFonts w:ascii="Arial" w:hAnsi="Arial" w:cs="Arial"/>
          <w:sz w:val="22"/>
          <w:szCs w:val="22"/>
        </w:rPr>
        <w:t xml:space="preserve">in dealing with mathematical concepts </w:t>
      </w:r>
      <w:r w:rsidR="00A97C1F" w:rsidRPr="00E228B3">
        <w:rPr>
          <w:rFonts w:ascii="Arial" w:hAnsi="Arial" w:cs="Arial"/>
          <w:sz w:val="22"/>
          <w:szCs w:val="22"/>
        </w:rPr>
        <w:t xml:space="preserve">it was important to measure these </w:t>
      </w:r>
      <w:r w:rsidR="00383F41">
        <w:rPr>
          <w:rFonts w:ascii="Arial" w:hAnsi="Arial" w:cs="Arial"/>
          <w:sz w:val="22"/>
          <w:szCs w:val="22"/>
        </w:rPr>
        <w:t>abilities prior to</w:t>
      </w:r>
      <w:r w:rsidR="00A97C1F" w:rsidRPr="00E228B3">
        <w:rPr>
          <w:rFonts w:ascii="Arial" w:hAnsi="Arial" w:cs="Arial"/>
          <w:sz w:val="22"/>
          <w:szCs w:val="22"/>
        </w:rPr>
        <w:t xml:space="preserve"> students </w:t>
      </w:r>
      <w:r w:rsidR="00383F41">
        <w:rPr>
          <w:rFonts w:ascii="Arial" w:hAnsi="Arial" w:cs="Arial"/>
          <w:sz w:val="22"/>
          <w:szCs w:val="22"/>
        </w:rPr>
        <w:t>being</w:t>
      </w:r>
      <w:r w:rsidR="00A97C1F" w:rsidRPr="00E228B3">
        <w:rPr>
          <w:rFonts w:ascii="Arial" w:hAnsi="Arial" w:cs="Arial"/>
          <w:sz w:val="22"/>
          <w:szCs w:val="22"/>
        </w:rPr>
        <w:t xml:space="preserve"> given any statistics teaching and before release of the </w:t>
      </w:r>
      <w:r w:rsidR="00383F41">
        <w:rPr>
          <w:rFonts w:ascii="Arial" w:hAnsi="Arial" w:cs="Arial"/>
          <w:sz w:val="22"/>
          <w:szCs w:val="22"/>
        </w:rPr>
        <w:t xml:space="preserve">new </w:t>
      </w:r>
      <w:r w:rsidR="00A97C1F" w:rsidRPr="00E228B3">
        <w:rPr>
          <w:rFonts w:ascii="Arial" w:hAnsi="Arial" w:cs="Arial"/>
          <w:sz w:val="22"/>
          <w:szCs w:val="22"/>
        </w:rPr>
        <w:t xml:space="preserve">study guides. Thus, in the first week of teaching </w:t>
      </w:r>
      <w:r w:rsidR="00383F41">
        <w:rPr>
          <w:rFonts w:ascii="Arial" w:hAnsi="Arial" w:cs="Arial"/>
          <w:sz w:val="22"/>
          <w:szCs w:val="22"/>
        </w:rPr>
        <w:t>(</w:t>
      </w:r>
      <w:r w:rsidR="00A97C1F" w:rsidRPr="00E228B3">
        <w:rPr>
          <w:rFonts w:ascii="Arial" w:hAnsi="Arial" w:cs="Arial"/>
          <w:sz w:val="22"/>
          <w:szCs w:val="22"/>
        </w:rPr>
        <w:t>in the first year</w:t>
      </w:r>
      <w:r w:rsidR="00255EC6">
        <w:rPr>
          <w:rFonts w:ascii="Arial" w:hAnsi="Arial" w:cs="Arial"/>
          <w:sz w:val="22"/>
          <w:szCs w:val="22"/>
        </w:rPr>
        <w:t>)</w:t>
      </w:r>
      <w:r w:rsidR="00A97C1F" w:rsidRPr="00E228B3">
        <w:rPr>
          <w:rFonts w:ascii="Arial" w:hAnsi="Arial" w:cs="Arial"/>
          <w:sz w:val="22"/>
          <w:szCs w:val="22"/>
        </w:rPr>
        <w:t xml:space="preserve"> the following variables </w:t>
      </w:r>
      <w:r>
        <w:rPr>
          <w:rFonts w:ascii="Arial" w:hAnsi="Arial" w:cs="Arial"/>
          <w:sz w:val="22"/>
          <w:szCs w:val="22"/>
        </w:rPr>
        <w:t>were</w:t>
      </w:r>
      <w:r w:rsidR="00A97C1F" w:rsidRPr="00E228B3">
        <w:rPr>
          <w:rFonts w:ascii="Arial" w:hAnsi="Arial" w:cs="Arial"/>
          <w:sz w:val="22"/>
          <w:szCs w:val="22"/>
        </w:rPr>
        <w:t xml:space="preserve"> measured:</w:t>
      </w:r>
    </w:p>
    <w:p w:rsidR="009510E8" w:rsidRPr="00E228B3" w:rsidRDefault="009510E8" w:rsidP="00A97C1F">
      <w:pPr>
        <w:rPr>
          <w:rFonts w:ascii="Arial" w:hAnsi="Arial" w:cs="Arial"/>
          <w:sz w:val="22"/>
          <w:szCs w:val="22"/>
        </w:rPr>
      </w:pPr>
    </w:p>
    <w:p w:rsidR="00A97C1F" w:rsidRPr="00E228B3" w:rsidRDefault="00A97C1F" w:rsidP="00A97C1F">
      <w:pPr>
        <w:numPr>
          <w:ilvl w:val="0"/>
          <w:numId w:val="4"/>
        </w:numPr>
        <w:rPr>
          <w:rFonts w:ascii="Arial" w:hAnsi="Arial" w:cs="Arial"/>
          <w:sz w:val="22"/>
          <w:szCs w:val="22"/>
        </w:rPr>
      </w:pPr>
      <w:r w:rsidRPr="00E228B3">
        <w:rPr>
          <w:rFonts w:ascii="Arial" w:hAnsi="Arial" w:cs="Arial"/>
          <w:i/>
          <w:iCs/>
          <w:sz w:val="22"/>
          <w:szCs w:val="22"/>
        </w:rPr>
        <w:t>Maths Skills Test</w:t>
      </w:r>
      <w:r w:rsidRPr="00E228B3">
        <w:rPr>
          <w:rFonts w:ascii="Arial" w:hAnsi="Arial" w:cs="Arial"/>
          <w:sz w:val="22"/>
          <w:szCs w:val="22"/>
        </w:rPr>
        <w:t xml:space="preserve"> (based upon work by Mulhern &amp; Wylie, 2005). This consists of 18 questions measuring six key mathematical skills identified by Mulhern &amp; Wylie. The questions are designed to measure </w:t>
      </w:r>
      <w:r w:rsidRPr="00E228B3">
        <w:rPr>
          <w:rFonts w:ascii="Arial" w:hAnsi="Arial" w:cs="Arial"/>
          <w:i/>
          <w:iCs/>
          <w:sz w:val="22"/>
          <w:szCs w:val="22"/>
        </w:rPr>
        <w:t xml:space="preserve">Calculations, Proportions, Algebra, Probability, Interpreting Graphs, </w:t>
      </w:r>
      <w:r w:rsidRPr="00E228B3">
        <w:rPr>
          <w:rFonts w:ascii="Arial" w:hAnsi="Arial" w:cs="Arial"/>
          <w:sz w:val="22"/>
          <w:szCs w:val="22"/>
        </w:rPr>
        <w:t>and</w:t>
      </w:r>
      <w:r w:rsidRPr="00E228B3">
        <w:rPr>
          <w:rFonts w:ascii="Arial" w:hAnsi="Arial" w:cs="Arial"/>
          <w:i/>
          <w:iCs/>
          <w:sz w:val="22"/>
          <w:szCs w:val="22"/>
        </w:rPr>
        <w:t xml:space="preserve"> Estimation.</w:t>
      </w:r>
    </w:p>
    <w:p w:rsidR="00A97C1F" w:rsidRPr="00E228B3" w:rsidRDefault="00A97C1F" w:rsidP="00A97C1F">
      <w:pPr>
        <w:numPr>
          <w:ilvl w:val="0"/>
          <w:numId w:val="4"/>
        </w:numPr>
        <w:rPr>
          <w:rFonts w:ascii="Arial" w:hAnsi="Arial" w:cs="Arial"/>
          <w:sz w:val="22"/>
          <w:szCs w:val="22"/>
        </w:rPr>
      </w:pPr>
      <w:r w:rsidRPr="00A76294">
        <w:rPr>
          <w:rFonts w:ascii="Arial" w:hAnsi="Arial" w:cs="Arial"/>
          <w:i/>
          <w:iCs/>
          <w:sz w:val="22"/>
          <w:szCs w:val="22"/>
          <w:lang w:val="fr-FR"/>
        </w:rPr>
        <w:t>Mathematics &amp; Technology Attitudes Scale</w:t>
      </w:r>
      <w:r w:rsidRPr="00A76294">
        <w:rPr>
          <w:rFonts w:ascii="Arial" w:hAnsi="Arial" w:cs="Arial"/>
          <w:sz w:val="22"/>
          <w:szCs w:val="22"/>
          <w:lang w:val="fr-FR"/>
        </w:rPr>
        <w:t xml:space="preserve"> (MTAS, Pierce et al., 2007). </w:t>
      </w:r>
      <w:r w:rsidRPr="00E228B3">
        <w:rPr>
          <w:rFonts w:ascii="Arial" w:hAnsi="Arial" w:cs="Arial"/>
          <w:sz w:val="22"/>
          <w:szCs w:val="22"/>
        </w:rPr>
        <w:t>The MTAS is a 20 item</w:t>
      </w:r>
      <w:r w:rsidR="00255EC6">
        <w:rPr>
          <w:rFonts w:ascii="Arial" w:hAnsi="Arial" w:cs="Arial"/>
          <w:sz w:val="22"/>
          <w:szCs w:val="22"/>
        </w:rPr>
        <w:t>s</w:t>
      </w:r>
      <w:r w:rsidRPr="00E228B3">
        <w:rPr>
          <w:rFonts w:ascii="Arial" w:hAnsi="Arial" w:cs="Arial"/>
          <w:sz w:val="22"/>
          <w:szCs w:val="22"/>
        </w:rPr>
        <w:t xml:space="preserve"> questionnaire measuring a number of aspects of attitudes to mathematics. The subscale of interest for the current project is the one measuring mathematics self-confidence. This consists of four items rated on a 5-point Likert scale ranging from </w:t>
      </w:r>
      <w:r w:rsidR="00792419">
        <w:rPr>
          <w:rFonts w:ascii="Arial" w:hAnsi="Arial" w:cs="Arial"/>
          <w:sz w:val="22"/>
          <w:szCs w:val="22"/>
        </w:rPr>
        <w:t>'</w:t>
      </w:r>
      <w:r w:rsidRPr="00E228B3">
        <w:rPr>
          <w:rFonts w:ascii="Arial" w:hAnsi="Arial" w:cs="Arial"/>
          <w:sz w:val="22"/>
          <w:szCs w:val="22"/>
        </w:rPr>
        <w:t>Strongly disagree to Strongly agree</w:t>
      </w:r>
      <w:r w:rsidR="00792419">
        <w:rPr>
          <w:rFonts w:ascii="Arial" w:hAnsi="Arial" w:cs="Arial"/>
          <w:sz w:val="22"/>
          <w:szCs w:val="22"/>
        </w:rPr>
        <w:t>'</w:t>
      </w:r>
      <w:r w:rsidRPr="00E228B3">
        <w:rPr>
          <w:rFonts w:ascii="Arial" w:hAnsi="Arial" w:cs="Arial"/>
          <w:sz w:val="22"/>
          <w:szCs w:val="22"/>
        </w:rPr>
        <w:t>. The minimum score on this scale is 4 and the maximum is 20. High scores on this questionnaire indicate high levels of mathematics self-confidence.</w:t>
      </w:r>
    </w:p>
    <w:p w:rsidR="00A97C1F" w:rsidRPr="00E228B3" w:rsidRDefault="00A97C1F" w:rsidP="00255EC6">
      <w:pPr>
        <w:numPr>
          <w:ilvl w:val="0"/>
          <w:numId w:val="4"/>
        </w:numPr>
        <w:rPr>
          <w:rFonts w:ascii="Arial" w:hAnsi="Arial" w:cs="Arial"/>
          <w:sz w:val="22"/>
          <w:szCs w:val="22"/>
        </w:rPr>
      </w:pPr>
      <w:r w:rsidRPr="00E228B3">
        <w:rPr>
          <w:rFonts w:ascii="Arial" w:hAnsi="Arial" w:cs="Arial"/>
          <w:i/>
          <w:iCs/>
          <w:sz w:val="22"/>
          <w:szCs w:val="22"/>
        </w:rPr>
        <w:t>Statistics Anxiety Ratings Scale</w:t>
      </w:r>
      <w:r w:rsidRPr="00E228B3">
        <w:rPr>
          <w:rFonts w:ascii="Arial" w:hAnsi="Arial" w:cs="Arial"/>
          <w:sz w:val="22"/>
          <w:szCs w:val="22"/>
        </w:rPr>
        <w:t xml:space="preserve"> (STARS, Cruise &amp; Wilkins 1980). The STARS is a 51 item</w:t>
      </w:r>
      <w:r w:rsidR="00792419">
        <w:rPr>
          <w:rFonts w:ascii="Arial" w:hAnsi="Arial" w:cs="Arial"/>
          <w:sz w:val="22"/>
          <w:szCs w:val="22"/>
        </w:rPr>
        <w:t>s</w:t>
      </w:r>
      <w:r w:rsidRPr="00E228B3">
        <w:rPr>
          <w:rFonts w:ascii="Arial" w:hAnsi="Arial" w:cs="Arial"/>
          <w:sz w:val="22"/>
          <w:szCs w:val="22"/>
        </w:rPr>
        <w:t xml:space="preserve"> questionnaire measuring six components of statistics anxiety. There is a growing literature which suggests that statistics anxiety is a major barrier to learning in undergraduate research methods and statistics courses and thus it </w:t>
      </w:r>
      <w:r w:rsidR="002D365C">
        <w:rPr>
          <w:rFonts w:ascii="Arial" w:hAnsi="Arial" w:cs="Arial"/>
          <w:sz w:val="22"/>
          <w:szCs w:val="22"/>
        </w:rPr>
        <w:t>is intended to determine the degree to which</w:t>
      </w:r>
      <w:r w:rsidRPr="00E228B3">
        <w:rPr>
          <w:rFonts w:ascii="Arial" w:hAnsi="Arial" w:cs="Arial"/>
          <w:sz w:val="22"/>
          <w:szCs w:val="22"/>
        </w:rPr>
        <w:t xml:space="preserve"> the use of the study guides has a positive impact on levels of reported statistics anxiety.</w:t>
      </w:r>
    </w:p>
    <w:p w:rsidR="00A97C1F" w:rsidRPr="00E228B3" w:rsidRDefault="00A97C1F" w:rsidP="00A97C1F">
      <w:pPr>
        <w:numPr>
          <w:ilvl w:val="0"/>
          <w:numId w:val="4"/>
        </w:numPr>
        <w:rPr>
          <w:rFonts w:ascii="Arial" w:hAnsi="Arial" w:cs="Arial"/>
          <w:sz w:val="22"/>
          <w:szCs w:val="22"/>
          <w:lang w:val="en-GB"/>
        </w:rPr>
      </w:pPr>
      <w:r w:rsidRPr="00E228B3">
        <w:rPr>
          <w:rFonts w:ascii="Arial" w:hAnsi="Arial" w:cs="Arial"/>
          <w:i/>
          <w:iCs/>
          <w:sz w:val="22"/>
          <w:szCs w:val="22"/>
        </w:rPr>
        <w:t>Enjoyment of maths</w:t>
      </w:r>
      <w:r w:rsidRPr="00E228B3">
        <w:rPr>
          <w:rFonts w:ascii="Arial" w:hAnsi="Arial" w:cs="Arial"/>
          <w:sz w:val="22"/>
          <w:szCs w:val="22"/>
        </w:rPr>
        <w:t xml:space="preserve"> as measured by a 100mm visual analogue scale. The anchors for this scale were ‘I hate maths’ and ‘I love maths’. This item on the battery of questionnaires was inserted as a matter or interest to see if there are any relationships with other variables in the study.</w:t>
      </w:r>
    </w:p>
    <w:p w:rsidR="00A77A7B" w:rsidRPr="00E228B3" w:rsidRDefault="00A77A7B" w:rsidP="00A97C1F">
      <w:pPr>
        <w:rPr>
          <w:rFonts w:ascii="Arial" w:hAnsi="Arial" w:cs="Arial"/>
          <w:sz w:val="22"/>
          <w:szCs w:val="22"/>
        </w:rPr>
      </w:pPr>
    </w:p>
    <w:p w:rsidR="00A77A7B" w:rsidRPr="00E228B3" w:rsidRDefault="00EF2071" w:rsidP="00255EC6">
      <w:pPr>
        <w:rPr>
          <w:rFonts w:ascii="Arial" w:hAnsi="Arial" w:cs="Arial"/>
          <w:sz w:val="22"/>
          <w:szCs w:val="22"/>
        </w:rPr>
      </w:pPr>
      <w:r w:rsidRPr="00E228B3">
        <w:rPr>
          <w:rFonts w:ascii="Arial" w:hAnsi="Arial" w:cs="Arial"/>
          <w:sz w:val="22"/>
          <w:szCs w:val="22"/>
        </w:rPr>
        <w:t xml:space="preserve">It </w:t>
      </w:r>
      <w:r w:rsidR="00FA03AC">
        <w:rPr>
          <w:rFonts w:ascii="Arial" w:hAnsi="Arial" w:cs="Arial"/>
          <w:sz w:val="22"/>
          <w:szCs w:val="22"/>
        </w:rPr>
        <w:t>was</w:t>
      </w:r>
      <w:r w:rsidRPr="00E228B3">
        <w:rPr>
          <w:rFonts w:ascii="Arial" w:hAnsi="Arial" w:cs="Arial"/>
          <w:sz w:val="22"/>
          <w:szCs w:val="22"/>
        </w:rPr>
        <w:t xml:space="preserve"> proposed </w:t>
      </w:r>
      <w:r w:rsidR="00255EC6">
        <w:rPr>
          <w:rFonts w:ascii="Arial" w:hAnsi="Arial" w:cs="Arial"/>
          <w:sz w:val="22"/>
          <w:szCs w:val="22"/>
        </w:rPr>
        <w:t xml:space="preserve">that </w:t>
      </w:r>
      <w:r w:rsidR="00255EC6" w:rsidRPr="00E228B3">
        <w:rPr>
          <w:rFonts w:ascii="Arial" w:hAnsi="Arial" w:cs="Arial"/>
          <w:sz w:val="22"/>
          <w:szCs w:val="22"/>
        </w:rPr>
        <w:t xml:space="preserve">students </w:t>
      </w:r>
      <w:r w:rsidR="00255EC6">
        <w:rPr>
          <w:rFonts w:ascii="Arial" w:hAnsi="Arial" w:cs="Arial"/>
          <w:sz w:val="22"/>
          <w:szCs w:val="22"/>
        </w:rPr>
        <w:t>would be</w:t>
      </w:r>
      <w:r w:rsidR="00255EC6" w:rsidRPr="00E228B3">
        <w:rPr>
          <w:rFonts w:ascii="Arial" w:hAnsi="Arial" w:cs="Arial"/>
          <w:sz w:val="22"/>
          <w:szCs w:val="22"/>
        </w:rPr>
        <w:t xml:space="preserve"> </w:t>
      </w:r>
      <w:r w:rsidRPr="00E228B3">
        <w:rPr>
          <w:rFonts w:ascii="Arial" w:hAnsi="Arial" w:cs="Arial"/>
          <w:sz w:val="22"/>
          <w:szCs w:val="22"/>
        </w:rPr>
        <w:t>reassess</w:t>
      </w:r>
      <w:r w:rsidR="00255EC6">
        <w:rPr>
          <w:rFonts w:ascii="Arial" w:hAnsi="Arial" w:cs="Arial"/>
          <w:sz w:val="22"/>
          <w:szCs w:val="22"/>
        </w:rPr>
        <w:t>ed</w:t>
      </w:r>
      <w:r w:rsidRPr="00E228B3">
        <w:rPr>
          <w:rFonts w:ascii="Arial" w:hAnsi="Arial" w:cs="Arial"/>
          <w:sz w:val="22"/>
          <w:szCs w:val="22"/>
        </w:rPr>
        <w:t xml:space="preserve"> on these measure</w:t>
      </w:r>
      <w:r w:rsidR="006A0ACF">
        <w:rPr>
          <w:rFonts w:ascii="Arial" w:hAnsi="Arial" w:cs="Arial"/>
          <w:sz w:val="22"/>
          <w:szCs w:val="22"/>
        </w:rPr>
        <w:t>s</w:t>
      </w:r>
      <w:r w:rsidRPr="00E228B3">
        <w:rPr>
          <w:rFonts w:ascii="Arial" w:hAnsi="Arial" w:cs="Arial"/>
          <w:sz w:val="22"/>
          <w:szCs w:val="22"/>
        </w:rPr>
        <w:t xml:space="preserve"> at the end of their first year to establish any differences between baseline and year end. Analyses </w:t>
      </w:r>
      <w:r w:rsidR="00FA03AC">
        <w:rPr>
          <w:rFonts w:ascii="Arial" w:hAnsi="Arial" w:cs="Arial"/>
          <w:sz w:val="22"/>
          <w:szCs w:val="22"/>
        </w:rPr>
        <w:t>would have</w:t>
      </w:r>
      <w:r w:rsidRPr="00E228B3">
        <w:rPr>
          <w:rFonts w:ascii="Arial" w:hAnsi="Arial" w:cs="Arial"/>
          <w:sz w:val="22"/>
          <w:szCs w:val="22"/>
        </w:rPr>
        <w:t xml:space="preserve"> also investigate</w:t>
      </w:r>
      <w:r w:rsidR="00FA03AC">
        <w:rPr>
          <w:rFonts w:ascii="Arial" w:hAnsi="Arial" w:cs="Arial"/>
          <w:sz w:val="22"/>
          <w:szCs w:val="22"/>
        </w:rPr>
        <w:t>d</w:t>
      </w:r>
      <w:r w:rsidRPr="00E228B3">
        <w:rPr>
          <w:rFonts w:ascii="Arial" w:hAnsi="Arial" w:cs="Arial"/>
          <w:sz w:val="22"/>
          <w:szCs w:val="22"/>
        </w:rPr>
        <w:t xml:space="preserve"> the possibility that any reductions in anxiety, or increases in </w:t>
      </w:r>
      <w:r w:rsidR="00255EC6" w:rsidRPr="00E228B3">
        <w:rPr>
          <w:rFonts w:ascii="Arial" w:hAnsi="Arial" w:cs="Arial"/>
          <w:sz w:val="22"/>
          <w:szCs w:val="22"/>
        </w:rPr>
        <w:t xml:space="preserve">self-confidence </w:t>
      </w:r>
      <w:r w:rsidR="00255EC6">
        <w:rPr>
          <w:rFonts w:ascii="Arial" w:hAnsi="Arial" w:cs="Arial"/>
          <w:sz w:val="22"/>
          <w:szCs w:val="22"/>
        </w:rPr>
        <w:t xml:space="preserve">in </w:t>
      </w:r>
      <w:r w:rsidRPr="00E228B3">
        <w:rPr>
          <w:rFonts w:ascii="Arial" w:hAnsi="Arial" w:cs="Arial"/>
          <w:sz w:val="22"/>
          <w:szCs w:val="22"/>
        </w:rPr>
        <w:t>math</w:t>
      </w:r>
      <w:r w:rsidR="00255EC6">
        <w:rPr>
          <w:rFonts w:ascii="Arial" w:hAnsi="Arial" w:cs="Arial"/>
          <w:sz w:val="22"/>
          <w:szCs w:val="22"/>
        </w:rPr>
        <w:t>ematic</w:t>
      </w:r>
      <w:r w:rsidRPr="00E228B3">
        <w:rPr>
          <w:rFonts w:ascii="Arial" w:hAnsi="Arial" w:cs="Arial"/>
          <w:sz w:val="22"/>
          <w:szCs w:val="22"/>
        </w:rPr>
        <w:t>s are related to en</w:t>
      </w:r>
      <w:r w:rsidR="00FA03AC">
        <w:rPr>
          <w:rFonts w:ascii="Arial" w:hAnsi="Arial" w:cs="Arial"/>
          <w:sz w:val="22"/>
          <w:szCs w:val="22"/>
        </w:rPr>
        <w:t>gagement with the study guides.</w:t>
      </w:r>
    </w:p>
    <w:p w:rsidR="006A0ACF" w:rsidRDefault="006A0ACF" w:rsidP="0075703A">
      <w:pPr>
        <w:rPr>
          <w:rFonts w:ascii="Arial" w:hAnsi="Arial" w:cs="Arial"/>
          <w:sz w:val="22"/>
          <w:szCs w:val="22"/>
        </w:rPr>
      </w:pPr>
    </w:p>
    <w:p w:rsidR="009A5B8F" w:rsidRDefault="009A5B8F" w:rsidP="0075703A">
      <w:pPr>
        <w:rPr>
          <w:rFonts w:ascii="Arial" w:hAnsi="Arial" w:cs="Arial"/>
          <w:sz w:val="22"/>
          <w:szCs w:val="22"/>
        </w:rPr>
      </w:pPr>
      <w:r w:rsidRPr="00E228B3">
        <w:rPr>
          <w:rFonts w:ascii="Arial" w:hAnsi="Arial" w:cs="Arial"/>
          <w:sz w:val="22"/>
          <w:szCs w:val="22"/>
        </w:rPr>
        <w:t xml:space="preserve">A facility </w:t>
      </w:r>
      <w:r w:rsidR="00FA03AC">
        <w:rPr>
          <w:rFonts w:ascii="Arial" w:hAnsi="Arial" w:cs="Arial"/>
          <w:sz w:val="22"/>
          <w:szCs w:val="22"/>
        </w:rPr>
        <w:t>was</w:t>
      </w:r>
      <w:r w:rsidRPr="00E228B3">
        <w:rPr>
          <w:rFonts w:ascii="Arial" w:hAnsi="Arial" w:cs="Arial"/>
          <w:sz w:val="22"/>
          <w:szCs w:val="22"/>
        </w:rPr>
        <w:t xml:space="preserve"> also provided for student</w:t>
      </w:r>
      <w:r w:rsidR="00FA03AC">
        <w:rPr>
          <w:rFonts w:ascii="Arial" w:hAnsi="Arial" w:cs="Arial"/>
          <w:sz w:val="22"/>
          <w:szCs w:val="22"/>
        </w:rPr>
        <w:t>s</w:t>
      </w:r>
      <w:r w:rsidRPr="00E228B3">
        <w:rPr>
          <w:rFonts w:ascii="Arial" w:hAnsi="Arial" w:cs="Arial"/>
          <w:sz w:val="22"/>
          <w:szCs w:val="22"/>
        </w:rPr>
        <w:t xml:space="preserve"> to feedback to the tutor regarding the study guides. A discussion board </w:t>
      </w:r>
      <w:r w:rsidR="00FA03AC">
        <w:rPr>
          <w:rFonts w:ascii="Arial" w:hAnsi="Arial" w:cs="Arial"/>
          <w:sz w:val="22"/>
          <w:szCs w:val="22"/>
        </w:rPr>
        <w:t>was</w:t>
      </w:r>
      <w:r w:rsidRPr="00E228B3">
        <w:rPr>
          <w:rFonts w:ascii="Arial" w:hAnsi="Arial" w:cs="Arial"/>
          <w:sz w:val="22"/>
          <w:szCs w:val="22"/>
        </w:rPr>
        <w:t xml:space="preserve"> set up in Blackboard to enable students to post anonymous feedback about the resources that they have used. This allow</w:t>
      </w:r>
      <w:r w:rsidR="00FA03AC">
        <w:rPr>
          <w:rFonts w:ascii="Arial" w:hAnsi="Arial" w:cs="Arial"/>
          <w:sz w:val="22"/>
          <w:szCs w:val="22"/>
        </w:rPr>
        <w:t>ed</w:t>
      </w:r>
      <w:r w:rsidRPr="00E228B3">
        <w:rPr>
          <w:rFonts w:ascii="Arial" w:hAnsi="Arial" w:cs="Arial"/>
          <w:sz w:val="22"/>
          <w:szCs w:val="22"/>
        </w:rPr>
        <w:t xml:space="preserve"> for continuous evaluation of the utility of the resources from the student perspective. It </w:t>
      </w:r>
      <w:r w:rsidR="00FA03AC">
        <w:rPr>
          <w:rFonts w:ascii="Arial" w:hAnsi="Arial" w:cs="Arial"/>
          <w:sz w:val="22"/>
          <w:szCs w:val="22"/>
        </w:rPr>
        <w:t xml:space="preserve">was also designed to </w:t>
      </w:r>
      <w:r w:rsidRPr="00E228B3">
        <w:rPr>
          <w:rFonts w:ascii="Arial" w:hAnsi="Arial" w:cs="Arial"/>
          <w:sz w:val="22"/>
          <w:szCs w:val="22"/>
        </w:rPr>
        <w:t xml:space="preserve">provide valuable suggestions as to the most effective means </w:t>
      </w:r>
      <w:r w:rsidR="008577A5">
        <w:rPr>
          <w:rFonts w:ascii="Arial" w:hAnsi="Arial" w:cs="Arial"/>
          <w:sz w:val="22"/>
          <w:szCs w:val="22"/>
        </w:rPr>
        <w:t>of improving the resources.</w:t>
      </w:r>
    </w:p>
    <w:p w:rsidR="002C5647" w:rsidRPr="00E228B3" w:rsidRDefault="002C5647">
      <w:pPr>
        <w:rPr>
          <w:rFonts w:ascii="Arial" w:hAnsi="Arial" w:cs="Arial"/>
          <w:sz w:val="22"/>
          <w:szCs w:val="22"/>
          <w:lang w:val="en-GB"/>
        </w:rPr>
      </w:pPr>
    </w:p>
    <w:p w:rsidR="005D492E" w:rsidRPr="00E228B3" w:rsidRDefault="005D492E">
      <w:pPr>
        <w:rPr>
          <w:rFonts w:ascii="Arial" w:hAnsi="Arial" w:cs="Arial"/>
          <w:b/>
          <w:sz w:val="22"/>
          <w:szCs w:val="22"/>
          <w:lang w:val="en-GB"/>
        </w:rPr>
      </w:pPr>
      <w:r w:rsidRPr="00E228B3">
        <w:rPr>
          <w:rFonts w:ascii="Arial" w:hAnsi="Arial" w:cs="Arial"/>
          <w:b/>
          <w:sz w:val="22"/>
          <w:szCs w:val="22"/>
          <w:lang w:val="en-GB"/>
        </w:rPr>
        <w:t>Assessment</w:t>
      </w:r>
      <w:r w:rsidR="00336936" w:rsidRPr="00E228B3">
        <w:rPr>
          <w:rFonts w:ascii="Arial" w:hAnsi="Arial" w:cs="Arial"/>
          <w:b/>
          <w:sz w:val="22"/>
          <w:szCs w:val="22"/>
          <w:lang w:val="en-GB"/>
        </w:rPr>
        <w:t xml:space="preserve"> (teaching practice)</w:t>
      </w:r>
    </w:p>
    <w:p w:rsidR="002C5647" w:rsidRPr="00E228B3" w:rsidRDefault="002C5647" w:rsidP="001C3FEE">
      <w:pPr>
        <w:rPr>
          <w:rFonts w:ascii="Arial" w:hAnsi="Arial" w:cs="Arial"/>
          <w:sz w:val="22"/>
          <w:szCs w:val="22"/>
          <w:lang w:val="en-GB"/>
        </w:rPr>
      </w:pPr>
    </w:p>
    <w:p w:rsidR="00E06DBA" w:rsidRDefault="00E06DBA" w:rsidP="00255EC6">
      <w:pPr>
        <w:rPr>
          <w:rFonts w:ascii="Arial" w:hAnsi="Arial" w:cs="Arial"/>
          <w:sz w:val="22"/>
          <w:szCs w:val="22"/>
          <w:lang w:val="en-GB"/>
        </w:rPr>
      </w:pPr>
      <w:r w:rsidRPr="00E228B3">
        <w:rPr>
          <w:rFonts w:ascii="Arial" w:hAnsi="Arial" w:cs="Arial"/>
          <w:sz w:val="22"/>
          <w:szCs w:val="22"/>
          <w:lang w:val="en-GB"/>
        </w:rPr>
        <w:t xml:space="preserve">It </w:t>
      </w:r>
      <w:r w:rsidR="00944A19">
        <w:rPr>
          <w:rFonts w:ascii="Arial" w:hAnsi="Arial" w:cs="Arial"/>
          <w:sz w:val="22"/>
          <w:szCs w:val="22"/>
          <w:lang w:val="en-GB"/>
        </w:rPr>
        <w:t>was</w:t>
      </w:r>
      <w:r w:rsidRPr="00E228B3">
        <w:rPr>
          <w:rFonts w:ascii="Arial" w:hAnsi="Arial" w:cs="Arial"/>
          <w:sz w:val="22"/>
          <w:szCs w:val="22"/>
          <w:lang w:val="en-GB"/>
        </w:rPr>
        <w:t xml:space="preserve"> intended that the impact of the additional </w:t>
      </w:r>
      <w:r w:rsidR="00944A19">
        <w:rPr>
          <w:rFonts w:ascii="Arial" w:hAnsi="Arial" w:cs="Arial"/>
          <w:sz w:val="22"/>
          <w:szCs w:val="22"/>
          <w:lang w:val="en-GB"/>
        </w:rPr>
        <w:t xml:space="preserve">materials </w:t>
      </w:r>
      <w:r w:rsidRPr="00E228B3">
        <w:rPr>
          <w:rFonts w:ascii="Arial" w:hAnsi="Arial" w:cs="Arial"/>
          <w:sz w:val="22"/>
          <w:szCs w:val="22"/>
          <w:lang w:val="en-GB"/>
        </w:rPr>
        <w:t xml:space="preserve">on </w:t>
      </w:r>
      <w:r w:rsidR="00944A19">
        <w:rPr>
          <w:rFonts w:ascii="Arial" w:hAnsi="Arial" w:cs="Arial"/>
          <w:sz w:val="22"/>
          <w:szCs w:val="22"/>
          <w:lang w:val="en-GB"/>
        </w:rPr>
        <w:t>student attainment</w:t>
      </w:r>
      <w:r w:rsidRPr="00E228B3">
        <w:rPr>
          <w:rFonts w:ascii="Arial" w:hAnsi="Arial" w:cs="Arial"/>
          <w:sz w:val="22"/>
          <w:szCs w:val="22"/>
          <w:lang w:val="en-GB"/>
        </w:rPr>
        <w:t xml:space="preserve"> </w:t>
      </w:r>
      <w:r w:rsidR="00944A19">
        <w:rPr>
          <w:rFonts w:ascii="Arial" w:hAnsi="Arial" w:cs="Arial"/>
          <w:sz w:val="22"/>
          <w:szCs w:val="22"/>
          <w:lang w:val="en-GB"/>
        </w:rPr>
        <w:t>would</w:t>
      </w:r>
      <w:r w:rsidRPr="00E228B3">
        <w:rPr>
          <w:rFonts w:ascii="Arial" w:hAnsi="Arial" w:cs="Arial"/>
          <w:sz w:val="22"/>
          <w:szCs w:val="22"/>
          <w:lang w:val="en-GB"/>
        </w:rPr>
        <w:t xml:space="preserve"> be evaluated through analyses of those who utilised the resources compared to those who did not. In </w:t>
      </w:r>
      <w:r w:rsidR="00944A19">
        <w:rPr>
          <w:rFonts w:ascii="Arial" w:hAnsi="Arial" w:cs="Arial"/>
          <w:sz w:val="22"/>
          <w:szCs w:val="22"/>
          <w:lang w:val="en-GB"/>
        </w:rPr>
        <w:t xml:space="preserve">any such </w:t>
      </w:r>
      <w:r w:rsidRPr="00E228B3">
        <w:rPr>
          <w:rFonts w:ascii="Arial" w:hAnsi="Arial" w:cs="Arial"/>
          <w:sz w:val="22"/>
          <w:szCs w:val="22"/>
          <w:lang w:val="en-GB"/>
        </w:rPr>
        <w:t xml:space="preserve">analyses there </w:t>
      </w:r>
      <w:r w:rsidR="00944A19">
        <w:rPr>
          <w:rFonts w:ascii="Arial" w:hAnsi="Arial" w:cs="Arial"/>
          <w:sz w:val="22"/>
          <w:szCs w:val="22"/>
          <w:lang w:val="en-GB"/>
        </w:rPr>
        <w:t>would need to</w:t>
      </w:r>
      <w:r w:rsidRPr="00E228B3">
        <w:rPr>
          <w:rFonts w:ascii="Arial" w:hAnsi="Arial" w:cs="Arial"/>
          <w:sz w:val="22"/>
          <w:szCs w:val="22"/>
          <w:lang w:val="en-GB"/>
        </w:rPr>
        <w:t xml:space="preserve"> be some means of controlling for prior </w:t>
      </w:r>
      <w:r w:rsidR="00255EC6">
        <w:rPr>
          <w:rFonts w:ascii="Arial" w:hAnsi="Arial" w:cs="Arial"/>
          <w:sz w:val="22"/>
          <w:szCs w:val="22"/>
          <w:lang w:val="en-GB"/>
        </w:rPr>
        <w:t xml:space="preserve">levels of </w:t>
      </w:r>
      <w:r w:rsidR="00255EC6" w:rsidRPr="00E228B3">
        <w:rPr>
          <w:rFonts w:ascii="Arial" w:hAnsi="Arial" w:cs="Arial"/>
          <w:sz w:val="22"/>
          <w:szCs w:val="22"/>
          <w:lang w:val="en-GB"/>
        </w:rPr>
        <w:t xml:space="preserve">self-confidence </w:t>
      </w:r>
      <w:r w:rsidR="00255EC6">
        <w:rPr>
          <w:rFonts w:ascii="Arial" w:hAnsi="Arial" w:cs="Arial"/>
          <w:sz w:val="22"/>
          <w:szCs w:val="22"/>
          <w:lang w:val="en-GB"/>
        </w:rPr>
        <w:t xml:space="preserve">in </w:t>
      </w:r>
      <w:r w:rsidRPr="00E228B3">
        <w:rPr>
          <w:rFonts w:ascii="Arial" w:hAnsi="Arial" w:cs="Arial"/>
          <w:sz w:val="22"/>
          <w:szCs w:val="22"/>
          <w:lang w:val="en-GB"/>
        </w:rPr>
        <w:t>math</w:t>
      </w:r>
      <w:r w:rsidR="00255EC6">
        <w:rPr>
          <w:rFonts w:ascii="Arial" w:hAnsi="Arial" w:cs="Arial"/>
          <w:sz w:val="22"/>
          <w:szCs w:val="22"/>
          <w:lang w:val="en-GB"/>
        </w:rPr>
        <w:t>ematic</w:t>
      </w:r>
      <w:r w:rsidRPr="00E228B3">
        <w:rPr>
          <w:rFonts w:ascii="Arial" w:hAnsi="Arial" w:cs="Arial"/>
          <w:sz w:val="22"/>
          <w:szCs w:val="22"/>
          <w:lang w:val="en-GB"/>
        </w:rPr>
        <w:t>s and also prior levels of skill in mathematics as indicated by scores on the maths skills test. This should allow for some evaluation of the impact upon learning of the study guides. In this analysis use could also be made of the data collected in the current year when the baseline measures were taken but the study guides were not released. We should be able to compare the impact on assessment this year compared to that next year and this would allow us greater confidence in conclusions we may draw concerning the impact of the study guides themselves.</w:t>
      </w:r>
    </w:p>
    <w:p w:rsidR="00FB5EF9" w:rsidRPr="00E228B3" w:rsidRDefault="00FB5EF9" w:rsidP="00255EC6">
      <w:pPr>
        <w:rPr>
          <w:rFonts w:ascii="Arial" w:hAnsi="Arial" w:cs="Arial"/>
          <w:sz w:val="22"/>
          <w:szCs w:val="22"/>
          <w:lang w:val="en-GB"/>
        </w:rPr>
      </w:pPr>
    </w:p>
    <w:p w:rsidR="008577A5" w:rsidRDefault="008577A5" w:rsidP="001C3FEE">
      <w:pPr>
        <w:rPr>
          <w:rFonts w:ascii="Arial" w:hAnsi="Arial" w:cs="Arial"/>
          <w:sz w:val="22"/>
          <w:szCs w:val="22"/>
          <w:lang w:val="en-GB"/>
        </w:rPr>
      </w:pPr>
      <w:r>
        <w:rPr>
          <w:rFonts w:ascii="Arial" w:hAnsi="Arial" w:cs="Arial"/>
          <w:b/>
          <w:sz w:val="22"/>
          <w:szCs w:val="22"/>
          <w:lang w:val="en-GB"/>
        </w:rPr>
        <w:t>Current Status of the Project</w:t>
      </w:r>
    </w:p>
    <w:p w:rsidR="008577A5" w:rsidRDefault="008577A5" w:rsidP="001C3FEE">
      <w:pPr>
        <w:rPr>
          <w:rFonts w:ascii="Arial" w:hAnsi="Arial" w:cs="Arial"/>
          <w:sz w:val="22"/>
          <w:szCs w:val="22"/>
          <w:lang w:val="en-GB"/>
        </w:rPr>
      </w:pPr>
    </w:p>
    <w:p w:rsidR="008577A5" w:rsidRPr="008577A5" w:rsidRDefault="008577A5" w:rsidP="001C3FEE">
      <w:pPr>
        <w:rPr>
          <w:rFonts w:ascii="Arial" w:hAnsi="Arial" w:cs="Arial"/>
          <w:sz w:val="22"/>
          <w:szCs w:val="22"/>
          <w:lang w:val="en-GB"/>
        </w:rPr>
      </w:pPr>
      <w:r>
        <w:rPr>
          <w:rFonts w:ascii="Arial" w:hAnsi="Arial" w:cs="Arial"/>
          <w:sz w:val="22"/>
          <w:szCs w:val="22"/>
          <w:lang w:val="en-GB"/>
        </w:rPr>
        <w:lastRenderedPageBreak/>
        <w:t>Unfortunately, the project has not moved along as quickly as would have been expected. Currently one cohort of students have been evaluated in terms of the baseline data and have had access to two of the study guides. It was intended that six study guides be developed and made available to students. The project is thus still only in the initial stages and there is not really enough progress for a thorough evaluation of the impact of the study guides. The analyses presented here thus should be treated with some caution given its very preliminary nature.</w:t>
      </w:r>
    </w:p>
    <w:p w:rsidR="008577A5" w:rsidRPr="00E228B3" w:rsidRDefault="008577A5" w:rsidP="001C3FEE">
      <w:pPr>
        <w:rPr>
          <w:rFonts w:ascii="Arial" w:hAnsi="Arial" w:cs="Arial"/>
          <w:sz w:val="22"/>
          <w:szCs w:val="22"/>
          <w:lang w:val="en-GB"/>
        </w:rPr>
      </w:pPr>
    </w:p>
    <w:p w:rsidR="00E06DBA" w:rsidRPr="008577A5" w:rsidRDefault="00E06DBA" w:rsidP="001C3FEE">
      <w:pPr>
        <w:rPr>
          <w:rFonts w:ascii="Arial" w:hAnsi="Arial" w:cs="Arial"/>
          <w:bCs/>
          <w:sz w:val="22"/>
          <w:szCs w:val="22"/>
          <w:u w:val="single"/>
          <w:lang w:val="en-GB"/>
        </w:rPr>
      </w:pPr>
      <w:r w:rsidRPr="008577A5">
        <w:rPr>
          <w:rFonts w:ascii="Arial" w:hAnsi="Arial" w:cs="Arial"/>
          <w:bCs/>
          <w:sz w:val="22"/>
          <w:szCs w:val="22"/>
          <w:u w:val="single"/>
          <w:lang w:val="en-GB"/>
        </w:rPr>
        <w:t>Preliminary Data Analysis</w:t>
      </w:r>
    </w:p>
    <w:p w:rsidR="00E06DBA" w:rsidRPr="00E228B3" w:rsidRDefault="00E06DBA" w:rsidP="001C3FEE">
      <w:pPr>
        <w:rPr>
          <w:rFonts w:ascii="Arial" w:hAnsi="Arial" w:cs="Arial"/>
          <w:sz w:val="22"/>
          <w:szCs w:val="22"/>
          <w:lang w:val="en-GB"/>
        </w:rPr>
      </w:pPr>
    </w:p>
    <w:p w:rsidR="001C3FEE" w:rsidRPr="00E228B3" w:rsidRDefault="00E06DBA" w:rsidP="001C3FEE">
      <w:pPr>
        <w:rPr>
          <w:rFonts w:ascii="Arial" w:hAnsi="Arial" w:cs="Arial"/>
          <w:sz w:val="22"/>
          <w:szCs w:val="22"/>
          <w:lang w:val="en-GB"/>
        </w:rPr>
      </w:pPr>
      <w:r w:rsidRPr="00E228B3">
        <w:rPr>
          <w:rFonts w:ascii="Arial" w:hAnsi="Arial" w:cs="Arial"/>
          <w:sz w:val="22"/>
          <w:szCs w:val="22"/>
          <w:lang w:val="en-GB"/>
        </w:rPr>
        <w:t>Preliminary analysis of some baseline data has been undertaken but t</w:t>
      </w:r>
      <w:r w:rsidR="00944A19">
        <w:rPr>
          <w:rFonts w:ascii="Arial" w:hAnsi="Arial" w:cs="Arial"/>
          <w:sz w:val="22"/>
          <w:szCs w:val="22"/>
          <w:lang w:val="en-GB"/>
        </w:rPr>
        <w:t xml:space="preserve">his has not progressed very far at this stage. </w:t>
      </w:r>
    </w:p>
    <w:p w:rsidR="00E06DBA" w:rsidRPr="00E228B3" w:rsidRDefault="00E06DBA" w:rsidP="001C3FEE">
      <w:pPr>
        <w:rPr>
          <w:rFonts w:ascii="Arial" w:hAnsi="Arial" w:cs="Arial"/>
          <w:sz w:val="22"/>
          <w:szCs w:val="22"/>
          <w:lang w:val="en-GB"/>
        </w:rPr>
      </w:pPr>
    </w:p>
    <w:p w:rsidR="006A0ACF" w:rsidRDefault="00E06DBA" w:rsidP="00E06DBA">
      <w:pPr>
        <w:rPr>
          <w:rFonts w:ascii="Arial" w:hAnsi="Arial" w:cs="Arial"/>
          <w:sz w:val="22"/>
          <w:szCs w:val="22"/>
        </w:rPr>
      </w:pPr>
      <w:r w:rsidRPr="00E228B3">
        <w:rPr>
          <w:rFonts w:ascii="Arial" w:hAnsi="Arial" w:cs="Arial"/>
          <w:sz w:val="22"/>
          <w:szCs w:val="22"/>
          <w:lang w:val="en-GB"/>
        </w:rPr>
        <w:t xml:space="preserve">The analyses of the responses to the Maths Skill Test suggested that the cohort of students </w:t>
      </w:r>
      <w:r w:rsidRPr="00E228B3">
        <w:rPr>
          <w:rFonts w:ascii="Arial" w:hAnsi="Arial" w:cs="Arial"/>
          <w:sz w:val="22"/>
          <w:szCs w:val="22"/>
        </w:rPr>
        <w:t>were weakest in the performance for the probability q</w:t>
      </w:r>
      <w:r w:rsidR="00BB1753" w:rsidRPr="00E228B3">
        <w:rPr>
          <w:rFonts w:ascii="Arial" w:hAnsi="Arial" w:cs="Arial"/>
          <w:sz w:val="22"/>
          <w:szCs w:val="22"/>
        </w:rPr>
        <w:t>uestions and the proportions</w:t>
      </w:r>
      <w:r w:rsidRPr="00E228B3">
        <w:rPr>
          <w:rFonts w:ascii="Arial" w:hAnsi="Arial" w:cs="Arial"/>
          <w:sz w:val="22"/>
          <w:szCs w:val="22"/>
        </w:rPr>
        <w:t xml:space="preserve"> questions. In addition</w:t>
      </w:r>
      <w:r w:rsidR="008577A5">
        <w:rPr>
          <w:rFonts w:ascii="Arial" w:hAnsi="Arial" w:cs="Arial"/>
          <w:sz w:val="22"/>
          <w:szCs w:val="22"/>
        </w:rPr>
        <w:t>,</w:t>
      </w:r>
      <w:r w:rsidRPr="00E228B3">
        <w:rPr>
          <w:rFonts w:ascii="Arial" w:hAnsi="Arial" w:cs="Arial"/>
          <w:sz w:val="22"/>
          <w:szCs w:val="22"/>
        </w:rPr>
        <w:t xml:space="preserve"> they struggled somewhat on the third of the algebra questions. These findings are remarkably consistent with those of</w:t>
      </w:r>
      <w:r w:rsidR="00BB1753" w:rsidRPr="00E228B3">
        <w:rPr>
          <w:rFonts w:ascii="Arial" w:hAnsi="Arial" w:cs="Arial"/>
          <w:sz w:val="22"/>
          <w:szCs w:val="22"/>
        </w:rPr>
        <w:t xml:space="preserve"> published by</w:t>
      </w:r>
      <w:r w:rsidRPr="00E228B3">
        <w:rPr>
          <w:rFonts w:ascii="Arial" w:hAnsi="Arial" w:cs="Arial"/>
          <w:sz w:val="22"/>
          <w:szCs w:val="22"/>
        </w:rPr>
        <w:t xml:space="preserve"> Mulhern and Wylie (2005)</w:t>
      </w:r>
      <w:r w:rsidR="00BB1753" w:rsidRPr="00E228B3">
        <w:rPr>
          <w:rFonts w:ascii="Arial" w:hAnsi="Arial" w:cs="Arial"/>
          <w:sz w:val="22"/>
          <w:szCs w:val="22"/>
        </w:rPr>
        <w:t xml:space="preserve">. The findings from this initial cohort of students are illustrated in Figure </w:t>
      </w:r>
      <w:r w:rsidR="00883DD8">
        <w:rPr>
          <w:rFonts w:ascii="Arial" w:hAnsi="Arial" w:cs="Arial"/>
          <w:sz w:val="22"/>
          <w:szCs w:val="22"/>
        </w:rPr>
        <w:t>2</w:t>
      </w:r>
      <w:r w:rsidR="00BB1753" w:rsidRPr="00E228B3">
        <w:rPr>
          <w:rFonts w:ascii="Arial" w:hAnsi="Arial" w:cs="Arial"/>
          <w:sz w:val="22"/>
          <w:szCs w:val="22"/>
        </w:rPr>
        <w:t>.</w:t>
      </w:r>
    </w:p>
    <w:p w:rsidR="00883DD8" w:rsidRDefault="00531F60" w:rsidP="00E06DBA">
      <w:pPr>
        <w:rPr>
          <w:rFonts w:ascii="Arial" w:hAnsi="Arial" w:cs="Arial"/>
          <w:sz w:val="22"/>
          <w:szCs w:val="22"/>
        </w:rPr>
      </w:pPr>
      <w:r>
        <w:rPr>
          <w:rFonts w:ascii="Arial" w:hAnsi="Arial" w:cs="Arial"/>
          <w:noProof/>
          <w:sz w:val="22"/>
          <w:szCs w:val="22"/>
          <w:lang w:val="en-GB" w:eastAsia="en-GB"/>
        </w:rPr>
        <w:pict>
          <v:group id="_x0000_s1035" style="position:absolute;margin-left:-5.2pt;margin-top:-3.6pt;width:404.2pt;height:290.9pt;z-index:251657216" coordorigin="1801,865" coordsize="8630,6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801;top:865;width:8630;height:6516">
              <v:imagedata r:id="rId7" o:title=""/>
            </v:shape>
            <v:rect id="_x0000_s1034" style="position:absolute;left:2610;top:1080;width:6900;height:360" strokecolor="white"/>
          </v:group>
        </w:pict>
      </w:r>
    </w:p>
    <w:p w:rsidR="00883DD8" w:rsidRDefault="00883DD8" w:rsidP="00E06DBA">
      <w:pPr>
        <w:rPr>
          <w:rFonts w:ascii="Arial" w:hAnsi="Arial" w:cs="Arial"/>
          <w:sz w:val="22"/>
          <w:szCs w:val="22"/>
        </w:rPr>
      </w:pPr>
    </w:p>
    <w:p w:rsidR="00883DD8" w:rsidRDefault="00883DD8" w:rsidP="00E06DBA">
      <w:pPr>
        <w:rPr>
          <w:rFonts w:ascii="Arial" w:hAnsi="Arial" w:cs="Arial"/>
          <w:sz w:val="22"/>
          <w:szCs w:val="22"/>
        </w:rPr>
      </w:pPr>
    </w:p>
    <w:p w:rsidR="00883DD8" w:rsidRDefault="00883DD8" w:rsidP="00E06DBA">
      <w:pPr>
        <w:rPr>
          <w:rFonts w:ascii="Arial" w:hAnsi="Arial" w:cs="Arial"/>
          <w:sz w:val="22"/>
          <w:szCs w:val="22"/>
        </w:rPr>
      </w:pPr>
    </w:p>
    <w:p w:rsidR="00BB1753" w:rsidRPr="00E228B3" w:rsidRDefault="00BB1753" w:rsidP="00E06DBA">
      <w:pPr>
        <w:rPr>
          <w:rFonts w:ascii="Arial" w:hAnsi="Arial" w:cs="Arial"/>
          <w:sz w:val="22"/>
          <w:szCs w:val="22"/>
        </w:rPr>
      </w:pPr>
    </w:p>
    <w:p w:rsidR="00BB1753" w:rsidRPr="00E228B3" w:rsidRDefault="00BB1753" w:rsidP="00E06DBA">
      <w:pPr>
        <w:rPr>
          <w:rFonts w:ascii="Arial" w:hAnsi="Arial" w:cs="Arial"/>
          <w:sz w:val="22"/>
          <w:szCs w:val="22"/>
        </w:rPr>
      </w:pPr>
    </w:p>
    <w:p w:rsidR="00BB1753" w:rsidRPr="00E228B3" w:rsidRDefault="00BB1753" w:rsidP="00E06DBA">
      <w:pPr>
        <w:rPr>
          <w:rFonts w:ascii="Arial" w:hAnsi="Arial" w:cs="Arial"/>
          <w:sz w:val="22"/>
          <w:szCs w:val="22"/>
        </w:rPr>
      </w:pPr>
    </w:p>
    <w:p w:rsidR="00BB1753" w:rsidRPr="00E228B3" w:rsidRDefault="00BB1753" w:rsidP="00E06DBA">
      <w:pPr>
        <w:rPr>
          <w:rFonts w:ascii="Arial" w:hAnsi="Arial" w:cs="Arial"/>
          <w:sz w:val="22"/>
          <w:szCs w:val="22"/>
        </w:rPr>
      </w:pPr>
    </w:p>
    <w:p w:rsidR="00BB1753" w:rsidRPr="00E228B3" w:rsidRDefault="00BB1753" w:rsidP="00E06DBA">
      <w:pPr>
        <w:rPr>
          <w:rFonts w:ascii="Arial" w:hAnsi="Arial" w:cs="Arial"/>
          <w:sz w:val="22"/>
          <w:szCs w:val="22"/>
        </w:rPr>
      </w:pPr>
    </w:p>
    <w:p w:rsidR="00BB1753" w:rsidRPr="00E228B3" w:rsidRDefault="00BB1753" w:rsidP="00E06DBA">
      <w:pPr>
        <w:rPr>
          <w:rFonts w:ascii="Arial" w:hAnsi="Arial" w:cs="Arial"/>
          <w:sz w:val="22"/>
          <w:szCs w:val="22"/>
        </w:rPr>
      </w:pPr>
    </w:p>
    <w:p w:rsidR="00BB1753" w:rsidRPr="00E228B3" w:rsidRDefault="00BB1753" w:rsidP="00E06DBA">
      <w:pPr>
        <w:rPr>
          <w:rFonts w:ascii="Arial" w:hAnsi="Arial" w:cs="Arial"/>
          <w:sz w:val="22"/>
          <w:szCs w:val="22"/>
        </w:rPr>
      </w:pPr>
    </w:p>
    <w:p w:rsidR="00BB1753" w:rsidRPr="00E228B3" w:rsidRDefault="00BB1753" w:rsidP="00E06DBA">
      <w:pPr>
        <w:rPr>
          <w:rFonts w:ascii="Arial" w:hAnsi="Arial" w:cs="Arial"/>
          <w:sz w:val="22"/>
          <w:szCs w:val="22"/>
        </w:rPr>
      </w:pPr>
    </w:p>
    <w:p w:rsidR="00BB1753" w:rsidRPr="00E228B3" w:rsidRDefault="00BB1753" w:rsidP="00E06DBA">
      <w:pPr>
        <w:rPr>
          <w:rFonts w:ascii="Arial" w:hAnsi="Arial" w:cs="Arial"/>
          <w:sz w:val="22"/>
          <w:szCs w:val="22"/>
        </w:rPr>
      </w:pPr>
    </w:p>
    <w:p w:rsidR="00BB1753" w:rsidRPr="00E228B3" w:rsidRDefault="00BB1753" w:rsidP="00E06DBA">
      <w:pPr>
        <w:rPr>
          <w:rFonts w:ascii="Arial" w:hAnsi="Arial" w:cs="Arial"/>
          <w:sz w:val="22"/>
          <w:szCs w:val="22"/>
        </w:rPr>
      </w:pPr>
    </w:p>
    <w:p w:rsidR="00BB1753" w:rsidRPr="00E228B3" w:rsidRDefault="00BB1753" w:rsidP="00E06DBA">
      <w:pPr>
        <w:rPr>
          <w:rFonts w:ascii="Arial" w:hAnsi="Arial" w:cs="Arial"/>
          <w:sz w:val="22"/>
          <w:szCs w:val="22"/>
        </w:rPr>
      </w:pPr>
    </w:p>
    <w:p w:rsidR="00BB1753" w:rsidRPr="00E228B3" w:rsidRDefault="00BB1753" w:rsidP="00E06DBA">
      <w:pPr>
        <w:rPr>
          <w:rFonts w:ascii="Arial" w:hAnsi="Arial" w:cs="Arial"/>
          <w:sz w:val="22"/>
          <w:szCs w:val="22"/>
        </w:rPr>
      </w:pPr>
    </w:p>
    <w:p w:rsidR="00E228B3" w:rsidRPr="00E228B3" w:rsidRDefault="00E228B3" w:rsidP="00E06DBA">
      <w:pPr>
        <w:rPr>
          <w:rFonts w:ascii="Arial" w:hAnsi="Arial" w:cs="Arial"/>
          <w:sz w:val="22"/>
          <w:szCs w:val="22"/>
        </w:rPr>
      </w:pPr>
    </w:p>
    <w:p w:rsidR="00E228B3" w:rsidRPr="00E228B3" w:rsidRDefault="00E228B3" w:rsidP="00E06DBA">
      <w:pPr>
        <w:rPr>
          <w:rFonts w:ascii="Arial" w:hAnsi="Arial" w:cs="Arial"/>
          <w:sz w:val="22"/>
          <w:szCs w:val="22"/>
        </w:rPr>
      </w:pPr>
    </w:p>
    <w:p w:rsidR="00E228B3" w:rsidRDefault="00E228B3" w:rsidP="00E06DBA">
      <w:pPr>
        <w:rPr>
          <w:rFonts w:ascii="Arial" w:hAnsi="Arial" w:cs="Arial"/>
          <w:sz w:val="22"/>
          <w:szCs w:val="22"/>
        </w:rPr>
      </w:pPr>
    </w:p>
    <w:p w:rsidR="00883DD8" w:rsidRDefault="00883DD8" w:rsidP="00E06DBA">
      <w:pPr>
        <w:rPr>
          <w:rFonts w:ascii="Arial" w:hAnsi="Arial" w:cs="Arial"/>
          <w:sz w:val="22"/>
          <w:szCs w:val="22"/>
        </w:rPr>
      </w:pPr>
    </w:p>
    <w:p w:rsidR="00883DD8" w:rsidRDefault="00883DD8" w:rsidP="00E06DBA">
      <w:pPr>
        <w:rPr>
          <w:rFonts w:ascii="Arial" w:hAnsi="Arial" w:cs="Arial"/>
          <w:sz w:val="22"/>
          <w:szCs w:val="22"/>
        </w:rPr>
      </w:pPr>
    </w:p>
    <w:p w:rsidR="00883DD8" w:rsidRPr="00E228B3" w:rsidRDefault="00883DD8" w:rsidP="00E06DBA">
      <w:pPr>
        <w:rPr>
          <w:rFonts w:ascii="Arial" w:hAnsi="Arial" w:cs="Arial"/>
          <w:sz w:val="22"/>
          <w:szCs w:val="22"/>
        </w:rPr>
      </w:pPr>
    </w:p>
    <w:p w:rsidR="00E228B3" w:rsidRPr="00E228B3" w:rsidRDefault="00E228B3" w:rsidP="00E06DBA">
      <w:pPr>
        <w:rPr>
          <w:rFonts w:ascii="Arial" w:hAnsi="Arial" w:cs="Arial"/>
          <w:sz w:val="22"/>
          <w:szCs w:val="22"/>
        </w:rPr>
      </w:pPr>
    </w:p>
    <w:p w:rsidR="00883DD8" w:rsidRPr="00883DD8" w:rsidRDefault="00883DD8" w:rsidP="009C26C0">
      <w:pPr>
        <w:jc w:val="center"/>
        <w:rPr>
          <w:rFonts w:ascii="Arial" w:hAnsi="Arial" w:cs="Arial"/>
          <w:i/>
          <w:sz w:val="22"/>
          <w:szCs w:val="22"/>
        </w:rPr>
      </w:pPr>
      <w:r>
        <w:rPr>
          <w:rFonts w:ascii="Arial" w:hAnsi="Arial" w:cs="Arial"/>
          <w:i/>
          <w:sz w:val="22"/>
          <w:szCs w:val="22"/>
        </w:rPr>
        <w:t>Figure 2. Percentage of correct responses for each item on the Maths Skills Test.</w:t>
      </w:r>
    </w:p>
    <w:p w:rsidR="00BB1753" w:rsidRPr="00E228B3" w:rsidRDefault="00BB1753" w:rsidP="00E06DBA">
      <w:pPr>
        <w:rPr>
          <w:rFonts w:ascii="Arial" w:hAnsi="Arial" w:cs="Arial"/>
          <w:sz w:val="22"/>
          <w:szCs w:val="22"/>
        </w:rPr>
      </w:pPr>
    </w:p>
    <w:p w:rsidR="008577A5" w:rsidRDefault="008577A5" w:rsidP="00E06DBA">
      <w:pPr>
        <w:rPr>
          <w:rFonts w:ascii="Arial" w:hAnsi="Arial" w:cs="Arial"/>
          <w:sz w:val="22"/>
          <w:szCs w:val="22"/>
        </w:rPr>
      </w:pPr>
      <w:r>
        <w:rPr>
          <w:rFonts w:ascii="Arial" w:hAnsi="Arial" w:cs="Arial"/>
          <w:sz w:val="22"/>
          <w:szCs w:val="22"/>
        </w:rPr>
        <w:t xml:space="preserve">It is quite clear from these analyses that students come to their statistics training at undergraduate level with some considerable weaknesses in terms of the mathematical skills. This is particularly evident when we consider their ability to understand probabilities. This is a critical finding given the central role probability plays in </w:t>
      </w:r>
      <w:r w:rsidR="00141636">
        <w:rPr>
          <w:rFonts w:ascii="Arial" w:hAnsi="Arial" w:cs="Arial"/>
          <w:sz w:val="22"/>
          <w:szCs w:val="22"/>
        </w:rPr>
        <w:t>statistical reasoning.</w:t>
      </w:r>
    </w:p>
    <w:p w:rsidR="008577A5" w:rsidRPr="00E228B3" w:rsidRDefault="008577A5" w:rsidP="00E06DBA">
      <w:pPr>
        <w:rPr>
          <w:rFonts w:ascii="Arial" w:hAnsi="Arial" w:cs="Arial"/>
          <w:sz w:val="22"/>
          <w:szCs w:val="22"/>
        </w:rPr>
      </w:pPr>
    </w:p>
    <w:p w:rsidR="00BB1753" w:rsidRDefault="00F1420C" w:rsidP="00FB5EF9">
      <w:pPr>
        <w:rPr>
          <w:rFonts w:ascii="Arial" w:hAnsi="Arial" w:cs="Arial"/>
          <w:sz w:val="22"/>
          <w:szCs w:val="22"/>
          <w:lang w:val="en-GB"/>
        </w:rPr>
      </w:pPr>
      <w:r>
        <w:rPr>
          <w:rFonts w:ascii="Arial" w:hAnsi="Arial" w:cs="Arial"/>
          <w:sz w:val="22"/>
          <w:szCs w:val="22"/>
          <w:lang w:val="en-GB"/>
        </w:rPr>
        <w:t>It is also interesting to note that the students reported only moderate levels of self-confidence in mathematics ability</w:t>
      </w:r>
      <w:r w:rsidR="00BB1753" w:rsidRPr="00E228B3">
        <w:rPr>
          <w:rFonts w:ascii="Arial" w:hAnsi="Arial" w:cs="Arial"/>
          <w:sz w:val="22"/>
          <w:szCs w:val="22"/>
          <w:lang w:val="en-GB"/>
        </w:rPr>
        <w:t xml:space="preserve">. The mean for the </w:t>
      </w:r>
      <w:r w:rsidR="00FB5EF9" w:rsidRPr="00E228B3">
        <w:rPr>
          <w:rFonts w:ascii="Arial" w:hAnsi="Arial" w:cs="Arial"/>
          <w:sz w:val="22"/>
          <w:szCs w:val="22"/>
          <w:lang w:val="en-GB"/>
        </w:rPr>
        <w:t xml:space="preserve">self-confidence </w:t>
      </w:r>
      <w:r w:rsidR="00FB5EF9">
        <w:rPr>
          <w:rFonts w:ascii="Arial" w:hAnsi="Arial" w:cs="Arial"/>
          <w:sz w:val="22"/>
          <w:szCs w:val="22"/>
          <w:lang w:val="en-GB"/>
        </w:rPr>
        <w:t xml:space="preserve">in </w:t>
      </w:r>
      <w:r w:rsidR="00BB1753" w:rsidRPr="00E228B3">
        <w:rPr>
          <w:rFonts w:ascii="Arial" w:hAnsi="Arial" w:cs="Arial"/>
          <w:sz w:val="22"/>
          <w:szCs w:val="22"/>
          <w:lang w:val="en-GB"/>
        </w:rPr>
        <w:t>math</w:t>
      </w:r>
      <w:r w:rsidR="00FB5EF9">
        <w:rPr>
          <w:rFonts w:ascii="Arial" w:hAnsi="Arial" w:cs="Arial"/>
          <w:sz w:val="22"/>
          <w:szCs w:val="22"/>
          <w:lang w:val="en-GB"/>
        </w:rPr>
        <w:t>ematic</w:t>
      </w:r>
      <w:r w:rsidR="00BB1753" w:rsidRPr="00E228B3">
        <w:rPr>
          <w:rFonts w:ascii="Arial" w:hAnsi="Arial" w:cs="Arial"/>
          <w:sz w:val="22"/>
          <w:szCs w:val="22"/>
          <w:lang w:val="en-GB"/>
        </w:rPr>
        <w:t>s sub-scale of the TMAS was 11.55</w:t>
      </w:r>
      <w:r w:rsidR="00737ED6">
        <w:rPr>
          <w:rFonts w:ascii="Arial" w:hAnsi="Arial" w:cs="Arial"/>
          <w:sz w:val="22"/>
          <w:szCs w:val="22"/>
          <w:lang w:val="en-GB"/>
        </w:rPr>
        <w:t xml:space="preserve"> (sd = 3.29)</w:t>
      </w:r>
      <w:r w:rsidR="00BB1753" w:rsidRPr="00E228B3">
        <w:rPr>
          <w:rFonts w:ascii="Arial" w:hAnsi="Arial" w:cs="Arial"/>
          <w:sz w:val="22"/>
          <w:szCs w:val="22"/>
          <w:lang w:val="en-GB"/>
        </w:rPr>
        <w:t>, which according to the guidelines from the authors of the questionnaire (Pierce et al., 2007) would represent moderate to low lev</w:t>
      </w:r>
      <w:r w:rsidR="00737ED6">
        <w:rPr>
          <w:rFonts w:ascii="Arial" w:hAnsi="Arial" w:cs="Arial"/>
          <w:sz w:val="22"/>
          <w:szCs w:val="22"/>
          <w:lang w:val="en-GB"/>
        </w:rPr>
        <w:t>els of self-confidence (see Figure 3 below).</w:t>
      </w:r>
      <w:r w:rsidR="00141636">
        <w:rPr>
          <w:rFonts w:ascii="Arial" w:hAnsi="Arial" w:cs="Arial"/>
          <w:sz w:val="22"/>
          <w:szCs w:val="22"/>
          <w:lang w:val="en-GB"/>
        </w:rPr>
        <w:t xml:space="preserve"> There would thus be quite a bit of scope for helping students at the bottom of the scale of self-confidence.</w:t>
      </w:r>
    </w:p>
    <w:p w:rsidR="00883DD8" w:rsidRDefault="00531F60" w:rsidP="009C26C0">
      <w:pPr>
        <w:jc w:val="center"/>
        <w:rPr>
          <w:rFonts w:ascii="Arial" w:hAnsi="Arial" w:cs="Arial"/>
          <w:sz w:val="22"/>
          <w:szCs w:val="22"/>
          <w:lang w:val="en-GB"/>
        </w:rPr>
      </w:pPr>
      <w:r>
        <w:rPr>
          <w:rFonts w:ascii="Arial" w:hAnsi="Arial" w:cs="Arial"/>
          <w:noProof/>
          <w:sz w:val="22"/>
          <w:szCs w:val="22"/>
          <w:lang w:val="en-GB" w:eastAsia="en-GB"/>
        </w:rPr>
        <w:lastRenderedPageBreak/>
        <w:pict>
          <v:rect id="_x0000_s1036" style="position:absolute;left:0;text-align:left;margin-left:57pt;margin-top:21.05pt;width:353.25pt;height:30.75pt;z-index:251658240" strokecolor="white"/>
        </w:pict>
      </w:r>
      <w:r w:rsidR="00A76294">
        <w:rPr>
          <w:rFonts w:ascii="Arial" w:hAnsi="Arial" w:cs="Arial"/>
          <w:noProof/>
          <w:sz w:val="22"/>
          <w:szCs w:val="22"/>
          <w:lang w:val="en-GB" w:eastAsia="zh-CN"/>
        </w:rPr>
        <w:drawing>
          <wp:inline distT="0" distB="0" distL="0" distR="0">
            <wp:extent cx="5095875" cy="36480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095875" cy="3648075"/>
                    </a:xfrm>
                    <a:prstGeom prst="rect">
                      <a:avLst/>
                    </a:prstGeom>
                    <a:noFill/>
                    <a:ln w="9525">
                      <a:noFill/>
                      <a:miter lim="800000"/>
                      <a:headEnd/>
                      <a:tailEnd/>
                    </a:ln>
                  </pic:spPr>
                </pic:pic>
              </a:graphicData>
            </a:graphic>
          </wp:inline>
        </w:drawing>
      </w:r>
    </w:p>
    <w:p w:rsidR="00883DD8" w:rsidRDefault="00883DD8" w:rsidP="00BB1753">
      <w:pPr>
        <w:rPr>
          <w:rFonts w:ascii="Arial" w:hAnsi="Arial" w:cs="Arial"/>
          <w:sz w:val="22"/>
          <w:szCs w:val="22"/>
          <w:lang w:val="en-GB"/>
        </w:rPr>
      </w:pPr>
    </w:p>
    <w:p w:rsidR="00883DD8" w:rsidRPr="00883DD8" w:rsidRDefault="00883DD8" w:rsidP="009C26C0">
      <w:pPr>
        <w:jc w:val="center"/>
        <w:rPr>
          <w:rFonts w:ascii="Arial" w:hAnsi="Arial" w:cs="Arial"/>
          <w:i/>
          <w:sz w:val="22"/>
          <w:szCs w:val="22"/>
          <w:lang w:val="en-GB"/>
        </w:rPr>
      </w:pPr>
      <w:r>
        <w:rPr>
          <w:rFonts w:ascii="Arial" w:hAnsi="Arial" w:cs="Arial"/>
          <w:i/>
          <w:sz w:val="22"/>
          <w:szCs w:val="22"/>
          <w:lang w:val="en-GB"/>
        </w:rPr>
        <w:t>Figure 3. Distribution of scores for Maths Self-Confidence.</w:t>
      </w:r>
    </w:p>
    <w:p w:rsidR="00BB1753" w:rsidRDefault="00BB1753" w:rsidP="001C3FEE">
      <w:pPr>
        <w:rPr>
          <w:rFonts w:ascii="Arial" w:hAnsi="Arial" w:cs="Arial"/>
          <w:sz w:val="22"/>
          <w:szCs w:val="22"/>
          <w:lang w:val="en-GB"/>
        </w:rPr>
      </w:pPr>
    </w:p>
    <w:p w:rsidR="00512542" w:rsidRDefault="00512542" w:rsidP="001C3FEE">
      <w:pPr>
        <w:rPr>
          <w:rFonts w:ascii="Arial" w:hAnsi="Arial" w:cs="Arial"/>
          <w:sz w:val="22"/>
          <w:szCs w:val="22"/>
          <w:lang w:val="en-GB"/>
        </w:rPr>
      </w:pPr>
      <w:r>
        <w:rPr>
          <w:rFonts w:ascii="Arial" w:hAnsi="Arial" w:cs="Arial"/>
          <w:sz w:val="22"/>
          <w:szCs w:val="22"/>
          <w:lang w:val="en-GB"/>
        </w:rPr>
        <w:t>The means and standard deviations for responses to the maths enjoyment scale and the six subscales of the STARS questionnaire are presented in Table 1. These show that…</w:t>
      </w:r>
    </w:p>
    <w:p w:rsidR="00512542" w:rsidRDefault="00512542" w:rsidP="001C3FEE">
      <w:pPr>
        <w:rPr>
          <w:rFonts w:ascii="Arial" w:hAnsi="Arial" w:cs="Arial"/>
          <w:sz w:val="22"/>
          <w:szCs w:val="22"/>
          <w:lang w:val="en-GB"/>
        </w:rPr>
      </w:pPr>
    </w:p>
    <w:p w:rsidR="00512542" w:rsidRDefault="00512542" w:rsidP="00FB5EF9">
      <w:pPr>
        <w:rPr>
          <w:rFonts w:ascii="Arial" w:hAnsi="Arial" w:cs="Arial"/>
          <w:sz w:val="22"/>
          <w:szCs w:val="22"/>
          <w:lang w:val="en-GB"/>
        </w:rPr>
      </w:pPr>
      <w:r>
        <w:rPr>
          <w:rFonts w:ascii="Arial" w:hAnsi="Arial" w:cs="Arial"/>
          <w:sz w:val="22"/>
          <w:szCs w:val="22"/>
          <w:lang w:val="en-GB"/>
        </w:rPr>
        <w:t xml:space="preserve">Table 1. The means and </w:t>
      </w:r>
      <w:r w:rsidR="00FB5EF9">
        <w:rPr>
          <w:rFonts w:ascii="Arial" w:hAnsi="Arial" w:cs="Arial"/>
          <w:sz w:val="22"/>
          <w:szCs w:val="22"/>
          <w:lang w:val="en-GB"/>
        </w:rPr>
        <w:t xml:space="preserve">standard deviations </w:t>
      </w:r>
      <w:r>
        <w:rPr>
          <w:rFonts w:ascii="Arial" w:hAnsi="Arial" w:cs="Arial"/>
          <w:sz w:val="22"/>
          <w:szCs w:val="22"/>
          <w:lang w:val="en-GB"/>
        </w:rPr>
        <w:t>for the maths enjoyment scale and the subscales of the Statistics Anxiety Ratings Scale (STARS).</w:t>
      </w:r>
    </w:p>
    <w:p w:rsidR="00512542" w:rsidRDefault="00512542" w:rsidP="001C3FEE">
      <w:pPr>
        <w:rPr>
          <w:rFonts w:ascii="Arial" w:hAnsi="Arial" w:cs="Arial"/>
          <w:sz w:val="22"/>
          <w:szCs w:val="22"/>
          <w:lang w:val="en-GB"/>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7"/>
        <w:gridCol w:w="1184"/>
        <w:gridCol w:w="986"/>
        <w:gridCol w:w="1513"/>
        <w:gridCol w:w="1187"/>
        <w:gridCol w:w="1134"/>
        <w:gridCol w:w="1417"/>
        <w:gridCol w:w="1276"/>
      </w:tblGrid>
      <w:tr w:rsidR="00512542" w:rsidRPr="00F13D05" w:rsidTr="00FB5EF9">
        <w:tc>
          <w:tcPr>
            <w:tcW w:w="767" w:type="dxa"/>
          </w:tcPr>
          <w:p w:rsidR="00512542" w:rsidRPr="00F13D05" w:rsidRDefault="00512542" w:rsidP="001C3FEE">
            <w:pPr>
              <w:rPr>
                <w:rFonts w:ascii="Arial" w:hAnsi="Arial" w:cs="Arial"/>
                <w:sz w:val="20"/>
                <w:szCs w:val="20"/>
                <w:lang w:val="en-GB"/>
              </w:rPr>
            </w:pPr>
          </w:p>
        </w:tc>
        <w:tc>
          <w:tcPr>
            <w:tcW w:w="1184" w:type="dxa"/>
          </w:tcPr>
          <w:p w:rsidR="00512542" w:rsidRPr="00F13D05" w:rsidRDefault="00512542" w:rsidP="001C3FEE">
            <w:pPr>
              <w:rPr>
                <w:rFonts w:ascii="Arial" w:hAnsi="Arial" w:cs="Arial"/>
                <w:sz w:val="20"/>
                <w:szCs w:val="20"/>
                <w:lang w:val="en-GB"/>
              </w:rPr>
            </w:pPr>
          </w:p>
        </w:tc>
        <w:tc>
          <w:tcPr>
            <w:tcW w:w="7513" w:type="dxa"/>
            <w:gridSpan w:val="6"/>
          </w:tcPr>
          <w:p w:rsidR="00512542" w:rsidRPr="00F13D05" w:rsidRDefault="00512542" w:rsidP="00F13D05">
            <w:pPr>
              <w:jc w:val="center"/>
              <w:rPr>
                <w:rFonts w:ascii="Arial" w:hAnsi="Arial" w:cs="Arial"/>
                <w:sz w:val="20"/>
                <w:szCs w:val="20"/>
                <w:lang w:val="en-GB"/>
              </w:rPr>
            </w:pPr>
            <w:r w:rsidRPr="00F13D05">
              <w:rPr>
                <w:rFonts w:ascii="Arial" w:hAnsi="Arial" w:cs="Arial"/>
                <w:sz w:val="20"/>
                <w:szCs w:val="20"/>
                <w:lang w:val="en-GB"/>
              </w:rPr>
              <w:t>STARS subscales</w:t>
            </w:r>
          </w:p>
        </w:tc>
      </w:tr>
      <w:tr w:rsidR="00512542" w:rsidRPr="00F13D05" w:rsidTr="00FB5EF9">
        <w:tc>
          <w:tcPr>
            <w:tcW w:w="767" w:type="dxa"/>
          </w:tcPr>
          <w:p w:rsidR="00512542" w:rsidRPr="00F13D05" w:rsidRDefault="00512542" w:rsidP="001C3FEE">
            <w:pPr>
              <w:rPr>
                <w:rFonts w:ascii="Arial" w:hAnsi="Arial" w:cs="Arial"/>
                <w:sz w:val="20"/>
                <w:szCs w:val="20"/>
                <w:lang w:val="en-GB"/>
              </w:rPr>
            </w:pPr>
            <w:r w:rsidRPr="00F13D05">
              <w:rPr>
                <w:rFonts w:ascii="Arial" w:hAnsi="Arial" w:cs="Arial"/>
                <w:sz w:val="20"/>
                <w:szCs w:val="20"/>
                <w:lang w:val="en-GB"/>
              </w:rPr>
              <w:t>Scale</w:t>
            </w:r>
          </w:p>
        </w:tc>
        <w:tc>
          <w:tcPr>
            <w:tcW w:w="1184" w:type="dxa"/>
          </w:tcPr>
          <w:p w:rsidR="00512542" w:rsidRPr="00F13D05" w:rsidRDefault="00512542" w:rsidP="001C3FEE">
            <w:pPr>
              <w:rPr>
                <w:rFonts w:ascii="Arial" w:hAnsi="Arial" w:cs="Arial"/>
                <w:sz w:val="20"/>
                <w:szCs w:val="20"/>
                <w:lang w:val="en-GB"/>
              </w:rPr>
            </w:pPr>
            <w:r w:rsidRPr="00F13D05">
              <w:rPr>
                <w:rFonts w:ascii="Arial" w:hAnsi="Arial" w:cs="Arial"/>
                <w:sz w:val="20"/>
                <w:szCs w:val="20"/>
                <w:lang w:val="en-GB"/>
              </w:rPr>
              <w:t>Enjoyment of maths</w:t>
            </w:r>
          </w:p>
        </w:tc>
        <w:tc>
          <w:tcPr>
            <w:tcW w:w="986" w:type="dxa"/>
          </w:tcPr>
          <w:p w:rsidR="00512542" w:rsidRPr="00F13D05" w:rsidRDefault="00512542" w:rsidP="001C3FEE">
            <w:pPr>
              <w:rPr>
                <w:rFonts w:ascii="Arial" w:hAnsi="Arial" w:cs="Arial"/>
                <w:sz w:val="20"/>
                <w:szCs w:val="20"/>
                <w:lang w:val="en-GB"/>
              </w:rPr>
            </w:pPr>
            <w:r w:rsidRPr="00F13D05">
              <w:rPr>
                <w:rFonts w:ascii="Arial" w:hAnsi="Arial" w:cs="Arial"/>
                <w:sz w:val="20"/>
                <w:szCs w:val="20"/>
                <w:lang w:val="en-GB"/>
              </w:rPr>
              <w:t>Test and Class anxiety</w:t>
            </w:r>
          </w:p>
        </w:tc>
        <w:tc>
          <w:tcPr>
            <w:tcW w:w="1513" w:type="dxa"/>
          </w:tcPr>
          <w:p w:rsidR="00512542" w:rsidRPr="00F13D05" w:rsidRDefault="00512542" w:rsidP="001C3FEE">
            <w:pPr>
              <w:rPr>
                <w:rFonts w:ascii="Arial" w:hAnsi="Arial" w:cs="Arial"/>
                <w:sz w:val="20"/>
                <w:szCs w:val="20"/>
                <w:lang w:val="en-GB"/>
              </w:rPr>
            </w:pPr>
            <w:r w:rsidRPr="00F13D05">
              <w:rPr>
                <w:rFonts w:ascii="Arial" w:hAnsi="Arial" w:cs="Arial"/>
                <w:sz w:val="20"/>
                <w:szCs w:val="20"/>
                <w:lang w:val="en-GB"/>
              </w:rPr>
              <w:t>Interpretation anxiety</w:t>
            </w:r>
          </w:p>
        </w:tc>
        <w:tc>
          <w:tcPr>
            <w:tcW w:w="1187" w:type="dxa"/>
          </w:tcPr>
          <w:p w:rsidR="00512542" w:rsidRPr="00F13D05" w:rsidRDefault="00512542" w:rsidP="001C3FEE">
            <w:pPr>
              <w:rPr>
                <w:rFonts w:ascii="Arial" w:hAnsi="Arial" w:cs="Arial"/>
                <w:sz w:val="20"/>
                <w:szCs w:val="20"/>
                <w:lang w:val="en-GB"/>
              </w:rPr>
            </w:pPr>
            <w:r w:rsidRPr="00F13D05">
              <w:rPr>
                <w:rFonts w:ascii="Arial" w:hAnsi="Arial" w:cs="Arial"/>
                <w:sz w:val="20"/>
                <w:szCs w:val="20"/>
                <w:lang w:val="en-GB"/>
              </w:rPr>
              <w:t>Fear of asking for help</w:t>
            </w:r>
          </w:p>
        </w:tc>
        <w:tc>
          <w:tcPr>
            <w:tcW w:w="1134" w:type="dxa"/>
          </w:tcPr>
          <w:p w:rsidR="00512542" w:rsidRPr="00F13D05" w:rsidRDefault="00512542" w:rsidP="001C3FEE">
            <w:pPr>
              <w:rPr>
                <w:rFonts w:ascii="Arial" w:hAnsi="Arial" w:cs="Arial"/>
                <w:sz w:val="20"/>
                <w:szCs w:val="20"/>
                <w:lang w:val="en-GB"/>
              </w:rPr>
            </w:pPr>
            <w:r w:rsidRPr="00F13D05">
              <w:rPr>
                <w:rFonts w:ascii="Arial" w:hAnsi="Arial" w:cs="Arial"/>
                <w:sz w:val="20"/>
                <w:szCs w:val="20"/>
                <w:lang w:val="en-GB"/>
              </w:rPr>
              <w:t>Worth  of statistics</w:t>
            </w:r>
          </w:p>
        </w:tc>
        <w:tc>
          <w:tcPr>
            <w:tcW w:w="1417" w:type="dxa"/>
          </w:tcPr>
          <w:p w:rsidR="00512542" w:rsidRPr="00F13D05" w:rsidRDefault="00512542" w:rsidP="001C3FEE">
            <w:pPr>
              <w:rPr>
                <w:rFonts w:ascii="Arial" w:hAnsi="Arial" w:cs="Arial"/>
                <w:sz w:val="20"/>
                <w:szCs w:val="20"/>
                <w:lang w:val="en-GB"/>
              </w:rPr>
            </w:pPr>
            <w:r w:rsidRPr="00F13D05">
              <w:rPr>
                <w:rFonts w:ascii="Arial" w:hAnsi="Arial" w:cs="Arial"/>
                <w:sz w:val="20"/>
                <w:szCs w:val="20"/>
                <w:lang w:val="en-GB"/>
              </w:rPr>
              <w:t>Computational self-concept</w:t>
            </w:r>
          </w:p>
        </w:tc>
        <w:tc>
          <w:tcPr>
            <w:tcW w:w="1276" w:type="dxa"/>
          </w:tcPr>
          <w:p w:rsidR="00512542" w:rsidRPr="00F13D05" w:rsidRDefault="00512542" w:rsidP="001C3FEE">
            <w:pPr>
              <w:rPr>
                <w:rFonts w:ascii="Arial" w:hAnsi="Arial" w:cs="Arial"/>
                <w:sz w:val="20"/>
                <w:szCs w:val="20"/>
                <w:lang w:val="en-GB"/>
              </w:rPr>
            </w:pPr>
            <w:r w:rsidRPr="00F13D05">
              <w:rPr>
                <w:rFonts w:ascii="Arial" w:hAnsi="Arial" w:cs="Arial"/>
                <w:sz w:val="20"/>
                <w:szCs w:val="20"/>
                <w:lang w:val="en-GB"/>
              </w:rPr>
              <w:t>Fear of statistics teachers</w:t>
            </w:r>
          </w:p>
        </w:tc>
      </w:tr>
      <w:tr w:rsidR="00512542" w:rsidRPr="00F13D05" w:rsidTr="00FB5EF9">
        <w:tc>
          <w:tcPr>
            <w:tcW w:w="767" w:type="dxa"/>
          </w:tcPr>
          <w:p w:rsidR="00512542" w:rsidRPr="00F13D05" w:rsidRDefault="00512542" w:rsidP="001C3FEE">
            <w:pPr>
              <w:rPr>
                <w:rFonts w:ascii="Arial" w:hAnsi="Arial" w:cs="Arial"/>
                <w:sz w:val="20"/>
                <w:szCs w:val="20"/>
                <w:lang w:val="en-GB"/>
              </w:rPr>
            </w:pPr>
            <w:r w:rsidRPr="00F13D05">
              <w:rPr>
                <w:rFonts w:ascii="Arial" w:hAnsi="Arial" w:cs="Arial"/>
                <w:sz w:val="20"/>
                <w:szCs w:val="20"/>
                <w:lang w:val="en-GB"/>
              </w:rPr>
              <w:t>Mean</w:t>
            </w:r>
          </w:p>
        </w:tc>
        <w:tc>
          <w:tcPr>
            <w:tcW w:w="1184" w:type="dxa"/>
          </w:tcPr>
          <w:p w:rsidR="00512542" w:rsidRPr="00F13D05" w:rsidRDefault="00512542" w:rsidP="001C3FEE">
            <w:pPr>
              <w:rPr>
                <w:rFonts w:ascii="Arial" w:hAnsi="Arial" w:cs="Arial"/>
                <w:sz w:val="20"/>
                <w:szCs w:val="20"/>
                <w:lang w:val="en-GB"/>
              </w:rPr>
            </w:pPr>
            <w:r w:rsidRPr="00F13D05">
              <w:rPr>
                <w:rFonts w:ascii="Arial" w:hAnsi="Arial" w:cs="Arial"/>
                <w:sz w:val="20"/>
                <w:szCs w:val="20"/>
                <w:lang w:val="en-GB"/>
              </w:rPr>
              <w:t>37.40</w:t>
            </w:r>
          </w:p>
        </w:tc>
        <w:tc>
          <w:tcPr>
            <w:tcW w:w="986" w:type="dxa"/>
          </w:tcPr>
          <w:p w:rsidR="00512542" w:rsidRPr="00F13D05" w:rsidRDefault="00512542" w:rsidP="001C3FEE">
            <w:pPr>
              <w:rPr>
                <w:rFonts w:ascii="Arial" w:hAnsi="Arial" w:cs="Arial"/>
                <w:sz w:val="20"/>
                <w:szCs w:val="20"/>
                <w:lang w:val="en-GB"/>
              </w:rPr>
            </w:pPr>
            <w:r w:rsidRPr="00F13D05">
              <w:rPr>
                <w:rFonts w:ascii="Arial" w:hAnsi="Arial" w:cs="Arial"/>
                <w:sz w:val="20"/>
                <w:szCs w:val="20"/>
                <w:lang w:val="en-GB"/>
              </w:rPr>
              <w:t>25.58</w:t>
            </w:r>
          </w:p>
        </w:tc>
        <w:tc>
          <w:tcPr>
            <w:tcW w:w="1513" w:type="dxa"/>
          </w:tcPr>
          <w:p w:rsidR="00512542" w:rsidRPr="00F13D05" w:rsidRDefault="00512542" w:rsidP="001C3FEE">
            <w:pPr>
              <w:rPr>
                <w:rFonts w:ascii="Arial" w:hAnsi="Arial" w:cs="Arial"/>
                <w:sz w:val="20"/>
                <w:szCs w:val="20"/>
                <w:lang w:val="en-GB"/>
              </w:rPr>
            </w:pPr>
            <w:r w:rsidRPr="00F13D05">
              <w:rPr>
                <w:rFonts w:ascii="Arial" w:hAnsi="Arial" w:cs="Arial"/>
                <w:sz w:val="20"/>
                <w:szCs w:val="20"/>
                <w:lang w:val="en-GB"/>
              </w:rPr>
              <w:t>30.25</w:t>
            </w:r>
          </w:p>
        </w:tc>
        <w:tc>
          <w:tcPr>
            <w:tcW w:w="1187" w:type="dxa"/>
          </w:tcPr>
          <w:p w:rsidR="00512542" w:rsidRPr="00F13D05" w:rsidRDefault="00512542" w:rsidP="001C3FEE">
            <w:pPr>
              <w:rPr>
                <w:rFonts w:ascii="Arial" w:hAnsi="Arial" w:cs="Arial"/>
                <w:sz w:val="20"/>
                <w:szCs w:val="20"/>
                <w:lang w:val="en-GB"/>
              </w:rPr>
            </w:pPr>
            <w:r w:rsidRPr="00F13D05">
              <w:rPr>
                <w:rFonts w:ascii="Arial" w:hAnsi="Arial" w:cs="Arial"/>
                <w:sz w:val="20"/>
                <w:szCs w:val="20"/>
                <w:lang w:val="en-GB"/>
              </w:rPr>
              <w:t>8.30</w:t>
            </w:r>
          </w:p>
        </w:tc>
        <w:tc>
          <w:tcPr>
            <w:tcW w:w="1134" w:type="dxa"/>
          </w:tcPr>
          <w:p w:rsidR="00512542" w:rsidRPr="00F13D05" w:rsidRDefault="00512542" w:rsidP="001C3FEE">
            <w:pPr>
              <w:rPr>
                <w:rFonts w:ascii="Arial" w:hAnsi="Arial" w:cs="Arial"/>
                <w:sz w:val="20"/>
                <w:szCs w:val="20"/>
                <w:lang w:val="en-GB"/>
              </w:rPr>
            </w:pPr>
            <w:r w:rsidRPr="00F13D05">
              <w:rPr>
                <w:rFonts w:ascii="Arial" w:hAnsi="Arial" w:cs="Arial"/>
                <w:sz w:val="20"/>
                <w:szCs w:val="20"/>
                <w:lang w:val="en-GB"/>
              </w:rPr>
              <w:t>37.64</w:t>
            </w:r>
          </w:p>
        </w:tc>
        <w:tc>
          <w:tcPr>
            <w:tcW w:w="1417" w:type="dxa"/>
          </w:tcPr>
          <w:p w:rsidR="00512542" w:rsidRPr="00F13D05" w:rsidRDefault="00512542" w:rsidP="001C3FEE">
            <w:pPr>
              <w:rPr>
                <w:rFonts w:ascii="Arial" w:hAnsi="Arial" w:cs="Arial"/>
                <w:sz w:val="20"/>
                <w:szCs w:val="20"/>
                <w:lang w:val="en-GB"/>
              </w:rPr>
            </w:pPr>
            <w:r w:rsidRPr="00F13D05">
              <w:rPr>
                <w:rFonts w:ascii="Arial" w:hAnsi="Arial" w:cs="Arial"/>
                <w:sz w:val="20"/>
                <w:szCs w:val="20"/>
                <w:lang w:val="en-GB"/>
              </w:rPr>
              <w:t>18.80</w:t>
            </w:r>
          </w:p>
        </w:tc>
        <w:tc>
          <w:tcPr>
            <w:tcW w:w="1276" w:type="dxa"/>
          </w:tcPr>
          <w:p w:rsidR="00512542" w:rsidRPr="00F13D05" w:rsidRDefault="00F13D05" w:rsidP="001C3FEE">
            <w:pPr>
              <w:rPr>
                <w:rFonts w:ascii="Arial" w:hAnsi="Arial" w:cs="Arial"/>
                <w:sz w:val="20"/>
                <w:szCs w:val="20"/>
                <w:lang w:val="en-GB"/>
              </w:rPr>
            </w:pPr>
            <w:r w:rsidRPr="00F13D05">
              <w:rPr>
                <w:rFonts w:ascii="Arial" w:hAnsi="Arial" w:cs="Arial"/>
                <w:sz w:val="20"/>
                <w:szCs w:val="20"/>
                <w:lang w:val="en-GB"/>
              </w:rPr>
              <w:t>10.60</w:t>
            </w:r>
          </w:p>
        </w:tc>
      </w:tr>
      <w:tr w:rsidR="00512542" w:rsidRPr="00F13D05" w:rsidTr="00FB5EF9">
        <w:tc>
          <w:tcPr>
            <w:tcW w:w="767" w:type="dxa"/>
          </w:tcPr>
          <w:p w:rsidR="00512542" w:rsidRPr="00F13D05" w:rsidRDefault="00512542" w:rsidP="001C3FEE">
            <w:pPr>
              <w:rPr>
                <w:rFonts w:ascii="Arial" w:hAnsi="Arial" w:cs="Arial"/>
                <w:sz w:val="20"/>
                <w:szCs w:val="20"/>
                <w:lang w:val="en-GB"/>
              </w:rPr>
            </w:pPr>
            <w:r w:rsidRPr="00F13D05">
              <w:rPr>
                <w:rFonts w:ascii="Arial" w:hAnsi="Arial" w:cs="Arial"/>
                <w:sz w:val="20"/>
                <w:szCs w:val="20"/>
                <w:lang w:val="en-GB"/>
              </w:rPr>
              <w:t>SD</w:t>
            </w:r>
          </w:p>
        </w:tc>
        <w:tc>
          <w:tcPr>
            <w:tcW w:w="1184" w:type="dxa"/>
          </w:tcPr>
          <w:p w:rsidR="00512542" w:rsidRPr="00F13D05" w:rsidRDefault="00512542" w:rsidP="001C3FEE">
            <w:pPr>
              <w:rPr>
                <w:rFonts w:ascii="Arial" w:hAnsi="Arial" w:cs="Arial"/>
                <w:sz w:val="20"/>
                <w:szCs w:val="20"/>
                <w:lang w:val="en-GB"/>
              </w:rPr>
            </w:pPr>
            <w:r w:rsidRPr="00F13D05">
              <w:rPr>
                <w:rFonts w:ascii="Arial" w:hAnsi="Arial" w:cs="Arial"/>
                <w:sz w:val="20"/>
                <w:szCs w:val="20"/>
                <w:lang w:val="en-GB"/>
              </w:rPr>
              <w:t>22.47</w:t>
            </w:r>
          </w:p>
        </w:tc>
        <w:tc>
          <w:tcPr>
            <w:tcW w:w="986" w:type="dxa"/>
          </w:tcPr>
          <w:p w:rsidR="00512542" w:rsidRPr="00F13D05" w:rsidRDefault="00512542" w:rsidP="001C3FEE">
            <w:pPr>
              <w:rPr>
                <w:rFonts w:ascii="Arial" w:hAnsi="Arial" w:cs="Arial"/>
                <w:sz w:val="20"/>
                <w:szCs w:val="20"/>
                <w:lang w:val="en-GB"/>
              </w:rPr>
            </w:pPr>
            <w:r w:rsidRPr="00F13D05">
              <w:rPr>
                <w:rFonts w:ascii="Arial" w:hAnsi="Arial" w:cs="Arial"/>
                <w:sz w:val="20"/>
                <w:szCs w:val="20"/>
                <w:lang w:val="en-GB"/>
              </w:rPr>
              <w:t>5.98</w:t>
            </w:r>
          </w:p>
        </w:tc>
        <w:tc>
          <w:tcPr>
            <w:tcW w:w="1513" w:type="dxa"/>
          </w:tcPr>
          <w:p w:rsidR="00512542" w:rsidRPr="00F13D05" w:rsidRDefault="00512542" w:rsidP="001C3FEE">
            <w:pPr>
              <w:rPr>
                <w:rFonts w:ascii="Arial" w:hAnsi="Arial" w:cs="Arial"/>
                <w:sz w:val="20"/>
                <w:szCs w:val="20"/>
                <w:lang w:val="en-GB"/>
              </w:rPr>
            </w:pPr>
            <w:r w:rsidRPr="00F13D05">
              <w:rPr>
                <w:rFonts w:ascii="Arial" w:hAnsi="Arial" w:cs="Arial"/>
                <w:sz w:val="20"/>
                <w:szCs w:val="20"/>
                <w:lang w:val="en-GB"/>
              </w:rPr>
              <w:t>7.26</w:t>
            </w:r>
          </w:p>
        </w:tc>
        <w:tc>
          <w:tcPr>
            <w:tcW w:w="1187" w:type="dxa"/>
          </w:tcPr>
          <w:p w:rsidR="00512542" w:rsidRPr="00F13D05" w:rsidRDefault="00512542" w:rsidP="001C3FEE">
            <w:pPr>
              <w:rPr>
                <w:rFonts w:ascii="Arial" w:hAnsi="Arial" w:cs="Arial"/>
                <w:sz w:val="20"/>
                <w:szCs w:val="20"/>
                <w:lang w:val="en-GB"/>
              </w:rPr>
            </w:pPr>
            <w:r w:rsidRPr="00F13D05">
              <w:rPr>
                <w:rFonts w:ascii="Arial" w:hAnsi="Arial" w:cs="Arial"/>
                <w:sz w:val="20"/>
                <w:szCs w:val="20"/>
                <w:lang w:val="en-GB"/>
              </w:rPr>
              <w:t>3.10</w:t>
            </w:r>
          </w:p>
        </w:tc>
        <w:tc>
          <w:tcPr>
            <w:tcW w:w="1134" w:type="dxa"/>
          </w:tcPr>
          <w:p w:rsidR="00512542" w:rsidRPr="00F13D05" w:rsidRDefault="00512542" w:rsidP="001C3FEE">
            <w:pPr>
              <w:rPr>
                <w:rFonts w:ascii="Arial" w:hAnsi="Arial" w:cs="Arial"/>
                <w:sz w:val="20"/>
                <w:szCs w:val="20"/>
                <w:lang w:val="en-GB"/>
              </w:rPr>
            </w:pPr>
            <w:r w:rsidRPr="00F13D05">
              <w:rPr>
                <w:rFonts w:ascii="Arial" w:hAnsi="Arial" w:cs="Arial"/>
                <w:sz w:val="20"/>
                <w:szCs w:val="20"/>
                <w:lang w:val="en-GB"/>
              </w:rPr>
              <w:t>9.89</w:t>
            </w:r>
          </w:p>
        </w:tc>
        <w:tc>
          <w:tcPr>
            <w:tcW w:w="1417" w:type="dxa"/>
          </w:tcPr>
          <w:p w:rsidR="00512542" w:rsidRPr="00F13D05" w:rsidRDefault="00512542" w:rsidP="001C3FEE">
            <w:pPr>
              <w:rPr>
                <w:rFonts w:ascii="Arial" w:hAnsi="Arial" w:cs="Arial"/>
                <w:sz w:val="20"/>
                <w:szCs w:val="20"/>
                <w:lang w:val="en-GB"/>
              </w:rPr>
            </w:pPr>
            <w:r w:rsidRPr="00F13D05">
              <w:rPr>
                <w:rFonts w:ascii="Arial" w:hAnsi="Arial" w:cs="Arial"/>
                <w:sz w:val="20"/>
                <w:szCs w:val="20"/>
                <w:lang w:val="en-GB"/>
              </w:rPr>
              <w:t>5.83</w:t>
            </w:r>
          </w:p>
        </w:tc>
        <w:tc>
          <w:tcPr>
            <w:tcW w:w="1276" w:type="dxa"/>
          </w:tcPr>
          <w:p w:rsidR="00512542" w:rsidRPr="00F13D05" w:rsidRDefault="00F13D05" w:rsidP="001C3FEE">
            <w:pPr>
              <w:rPr>
                <w:rFonts w:ascii="Arial" w:hAnsi="Arial" w:cs="Arial"/>
                <w:sz w:val="20"/>
                <w:szCs w:val="20"/>
                <w:lang w:val="en-GB"/>
              </w:rPr>
            </w:pPr>
            <w:r w:rsidRPr="00F13D05">
              <w:rPr>
                <w:rFonts w:ascii="Arial" w:hAnsi="Arial" w:cs="Arial"/>
                <w:sz w:val="20"/>
                <w:szCs w:val="20"/>
                <w:lang w:val="en-GB"/>
              </w:rPr>
              <w:t>3.55</w:t>
            </w:r>
          </w:p>
        </w:tc>
      </w:tr>
    </w:tbl>
    <w:p w:rsidR="00512542" w:rsidRDefault="00512542" w:rsidP="001C3FEE">
      <w:pPr>
        <w:rPr>
          <w:rFonts w:ascii="Arial" w:hAnsi="Arial" w:cs="Arial"/>
          <w:sz w:val="22"/>
          <w:szCs w:val="22"/>
          <w:lang w:val="en-GB"/>
        </w:rPr>
      </w:pPr>
    </w:p>
    <w:p w:rsidR="00512542" w:rsidRDefault="00F13D05" w:rsidP="001C3FEE">
      <w:pPr>
        <w:rPr>
          <w:rFonts w:ascii="Arial" w:hAnsi="Arial" w:cs="Arial"/>
          <w:sz w:val="22"/>
          <w:szCs w:val="22"/>
          <w:lang w:val="en-GB"/>
        </w:rPr>
      </w:pPr>
      <w:r>
        <w:rPr>
          <w:rFonts w:ascii="Arial" w:hAnsi="Arial" w:cs="Arial"/>
          <w:sz w:val="22"/>
          <w:szCs w:val="22"/>
          <w:lang w:val="en-GB"/>
        </w:rPr>
        <w:t>The mean for enjoyment of maths suggests that the students generally had only low to moderate levels of enjoyment of maths. The visual analogue scale was 10 cm long and the mean mark was 37.4 mm from the ‘I hate maths’ anchor, perhaps suggesting that the students disliked maths more than they enjoyed it.</w:t>
      </w:r>
    </w:p>
    <w:p w:rsidR="007C362F" w:rsidRDefault="007C362F" w:rsidP="001C3FEE">
      <w:pPr>
        <w:rPr>
          <w:rFonts w:ascii="Arial" w:hAnsi="Arial" w:cs="Arial"/>
          <w:sz w:val="22"/>
          <w:szCs w:val="22"/>
          <w:lang w:val="en-GB"/>
        </w:rPr>
      </w:pPr>
    </w:p>
    <w:p w:rsidR="007C362F" w:rsidRDefault="007C362F" w:rsidP="001C3FEE">
      <w:pPr>
        <w:rPr>
          <w:rFonts w:ascii="Arial" w:hAnsi="Arial" w:cs="Arial"/>
          <w:sz w:val="22"/>
          <w:szCs w:val="22"/>
          <w:lang w:val="en-GB"/>
        </w:rPr>
      </w:pPr>
      <w:r>
        <w:rPr>
          <w:rFonts w:ascii="Arial" w:hAnsi="Arial" w:cs="Arial"/>
          <w:sz w:val="22"/>
          <w:szCs w:val="22"/>
          <w:lang w:val="en-GB"/>
        </w:rPr>
        <w:t>In terms of the STARS subscales a comparison with previous research (Hanna et al., 2008) suggests that the current cohort scores are similar to other UK undergraduate psychology students on test and class anxiety, interpretation anxiety and the fear of asking for help. However, this cohort scored considerably lower than the large sample examined by Hanna et al</w:t>
      </w:r>
      <w:r w:rsidR="00D13027">
        <w:rPr>
          <w:rFonts w:ascii="Arial" w:hAnsi="Arial" w:cs="Arial"/>
          <w:sz w:val="22"/>
          <w:szCs w:val="22"/>
          <w:lang w:val="en-GB"/>
        </w:rPr>
        <w:t>.</w:t>
      </w:r>
      <w:r w:rsidR="00005228">
        <w:rPr>
          <w:rFonts w:ascii="Arial" w:hAnsi="Arial" w:cs="Arial"/>
          <w:sz w:val="22"/>
          <w:szCs w:val="22"/>
          <w:lang w:val="en-GB"/>
        </w:rPr>
        <w:t xml:space="preserve"> (2008)</w:t>
      </w:r>
      <w:r>
        <w:rPr>
          <w:rFonts w:ascii="Arial" w:hAnsi="Arial" w:cs="Arial"/>
          <w:sz w:val="22"/>
          <w:szCs w:val="22"/>
          <w:lang w:val="en-GB"/>
        </w:rPr>
        <w:t xml:space="preserve"> in terms of worth of statistics, computational self-concept and fear of statistics teachers. </w:t>
      </w:r>
    </w:p>
    <w:p w:rsidR="00005228" w:rsidRDefault="00005228" w:rsidP="001C3FEE">
      <w:pPr>
        <w:rPr>
          <w:rFonts w:ascii="Arial" w:hAnsi="Arial" w:cs="Arial"/>
          <w:sz w:val="22"/>
          <w:szCs w:val="22"/>
          <w:lang w:val="en-GB"/>
        </w:rPr>
      </w:pPr>
    </w:p>
    <w:p w:rsidR="005D492E" w:rsidRPr="00E228B3" w:rsidRDefault="00525DA5">
      <w:pPr>
        <w:rPr>
          <w:rFonts w:ascii="Arial" w:hAnsi="Arial" w:cs="Arial"/>
          <w:b/>
          <w:sz w:val="22"/>
          <w:szCs w:val="22"/>
          <w:lang w:val="en-GB"/>
        </w:rPr>
      </w:pPr>
      <w:r w:rsidRPr="00E228B3">
        <w:rPr>
          <w:rFonts w:ascii="Arial" w:hAnsi="Arial" w:cs="Arial"/>
          <w:b/>
          <w:sz w:val="22"/>
          <w:szCs w:val="22"/>
          <w:lang w:val="en-GB"/>
        </w:rPr>
        <w:t>Discussion, summary and</w:t>
      </w:r>
      <w:r w:rsidR="004D5AC7" w:rsidRPr="00E228B3">
        <w:rPr>
          <w:rFonts w:ascii="Arial" w:hAnsi="Arial" w:cs="Arial"/>
          <w:b/>
          <w:sz w:val="22"/>
          <w:szCs w:val="22"/>
          <w:lang w:val="en-GB"/>
        </w:rPr>
        <w:t>/or</w:t>
      </w:r>
      <w:r w:rsidRPr="00E228B3">
        <w:rPr>
          <w:rFonts w:ascii="Arial" w:hAnsi="Arial" w:cs="Arial"/>
          <w:b/>
          <w:sz w:val="22"/>
          <w:szCs w:val="22"/>
          <w:lang w:val="en-GB"/>
        </w:rPr>
        <w:t xml:space="preserve"> </w:t>
      </w:r>
      <w:r w:rsidR="00DD46D7" w:rsidRPr="00E228B3">
        <w:rPr>
          <w:rFonts w:ascii="Arial" w:hAnsi="Arial" w:cs="Arial"/>
          <w:b/>
          <w:sz w:val="22"/>
          <w:szCs w:val="22"/>
          <w:lang w:val="en-GB"/>
        </w:rPr>
        <w:t>e</w:t>
      </w:r>
      <w:r w:rsidR="005D492E" w:rsidRPr="00E228B3">
        <w:rPr>
          <w:rFonts w:ascii="Arial" w:hAnsi="Arial" w:cs="Arial"/>
          <w:b/>
          <w:sz w:val="22"/>
          <w:szCs w:val="22"/>
          <w:lang w:val="en-GB"/>
        </w:rPr>
        <w:t>valuation</w:t>
      </w:r>
    </w:p>
    <w:p w:rsidR="00BB1753" w:rsidRPr="00E228B3" w:rsidRDefault="00BB1753" w:rsidP="003900EB">
      <w:pPr>
        <w:rPr>
          <w:rFonts w:ascii="Arial" w:hAnsi="Arial" w:cs="Arial"/>
          <w:sz w:val="22"/>
          <w:szCs w:val="22"/>
          <w:lang w:val="en-GB"/>
        </w:rPr>
      </w:pPr>
    </w:p>
    <w:p w:rsidR="00141636" w:rsidRDefault="00BB1753" w:rsidP="00F9463E">
      <w:pPr>
        <w:rPr>
          <w:rFonts w:ascii="Arial" w:hAnsi="Arial" w:cs="Arial"/>
          <w:sz w:val="22"/>
          <w:szCs w:val="22"/>
          <w:lang w:val="en-GB"/>
        </w:rPr>
      </w:pPr>
      <w:r w:rsidRPr="00E228B3">
        <w:rPr>
          <w:rFonts w:ascii="Arial" w:hAnsi="Arial" w:cs="Arial"/>
          <w:sz w:val="22"/>
          <w:szCs w:val="22"/>
          <w:lang w:val="en-GB"/>
        </w:rPr>
        <w:t>It is rather disappointing that the project has not moved on from the initial stages of the development and implementa</w:t>
      </w:r>
      <w:r w:rsidR="00141636">
        <w:rPr>
          <w:rFonts w:ascii="Arial" w:hAnsi="Arial" w:cs="Arial"/>
          <w:sz w:val="22"/>
          <w:szCs w:val="22"/>
          <w:lang w:val="en-GB"/>
        </w:rPr>
        <w:t xml:space="preserve">tion of the first study guides. As suggested above the </w:t>
      </w:r>
      <w:r w:rsidR="00141636">
        <w:rPr>
          <w:rFonts w:ascii="Arial" w:hAnsi="Arial" w:cs="Arial"/>
          <w:sz w:val="22"/>
          <w:szCs w:val="22"/>
          <w:lang w:val="en-GB"/>
        </w:rPr>
        <w:lastRenderedPageBreak/>
        <w:t xml:space="preserve">intention was to generate at least six study guides to be released at </w:t>
      </w:r>
      <w:r w:rsidR="00F9463E">
        <w:rPr>
          <w:rFonts w:ascii="Arial" w:hAnsi="Arial" w:cs="Arial"/>
          <w:sz w:val="22"/>
          <w:szCs w:val="22"/>
          <w:lang w:val="en-GB"/>
        </w:rPr>
        <w:t>specific intervals</w:t>
      </w:r>
      <w:r w:rsidR="00141636">
        <w:rPr>
          <w:rFonts w:ascii="Arial" w:hAnsi="Arial" w:cs="Arial"/>
          <w:sz w:val="22"/>
          <w:szCs w:val="22"/>
          <w:lang w:val="en-GB"/>
        </w:rPr>
        <w:t xml:space="preserve"> during the students first year of study. Currently only two of the study guides have been written and made available to students. It was also envisaged that a follow-up assessment of the students would occur towards the end of the teaching year to assess changes in </w:t>
      </w:r>
      <w:r w:rsidR="00F9463E">
        <w:rPr>
          <w:rFonts w:ascii="Arial" w:hAnsi="Arial" w:cs="Arial"/>
          <w:sz w:val="22"/>
          <w:szCs w:val="22"/>
          <w:lang w:val="en-GB"/>
        </w:rPr>
        <w:t xml:space="preserve">self-confidence in </w:t>
      </w:r>
      <w:r w:rsidR="00141636">
        <w:rPr>
          <w:rFonts w:ascii="Arial" w:hAnsi="Arial" w:cs="Arial"/>
          <w:sz w:val="22"/>
          <w:szCs w:val="22"/>
          <w:lang w:val="en-GB"/>
        </w:rPr>
        <w:t>math</w:t>
      </w:r>
      <w:r w:rsidR="00F9463E">
        <w:rPr>
          <w:rFonts w:ascii="Arial" w:hAnsi="Arial" w:cs="Arial"/>
          <w:sz w:val="22"/>
          <w:szCs w:val="22"/>
          <w:lang w:val="en-GB"/>
        </w:rPr>
        <w:t>ematic</w:t>
      </w:r>
      <w:r w:rsidR="00141636">
        <w:rPr>
          <w:rFonts w:ascii="Arial" w:hAnsi="Arial" w:cs="Arial"/>
          <w:sz w:val="22"/>
          <w:szCs w:val="22"/>
          <w:lang w:val="en-GB"/>
        </w:rPr>
        <w:t xml:space="preserve">s, statistics anxiety and the six key areas of </w:t>
      </w:r>
      <w:r w:rsidR="00F9463E">
        <w:rPr>
          <w:rFonts w:ascii="Arial" w:hAnsi="Arial" w:cs="Arial"/>
          <w:sz w:val="22"/>
          <w:szCs w:val="22"/>
          <w:lang w:val="en-GB"/>
        </w:rPr>
        <w:t xml:space="preserve">analytical skills in </w:t>
      </w:r>
      <w:r w:rsidR="00141636">
        <w:rPr>
          <w:rFonts w:ascii="Arial" w:hAnsi="Arial" w:cs="Arial"/>
          <w:sz w:val="22"/>
          <w:szCs w:val="22"/>
          <w:lang w:val="en-GB"/>
        </w:rPr>
        <w:t>mathematics. Given the limited progress made on developing the study guides this follow-up assessment has not taken place.</w:t>
      </w:r>
    </w:p>
    <w:p w:rsidR="00141636" w:rsidRDefault="00141636" w:rsidP="00BB1753">
      <w:pPr>
        <w:rPr>
          <w:rFonts w:ascii="Arial" w:hAnsi="Arial" w:cs="Arial"/>
          <w:sz w:val="22"/>
          <w:szCs w:val="22"/>
          <w:lang w:val="en-GB"/>
        </w:rPr>
      </w:pPr>
    </w:p>
    <w:p w:rsidR="00141636" w:rsidRPr="00E228B3" w:rsidRDefault="00141636" w:rsidP="00392267">
      <w:pPr>
        <w:rPr>
          <w:rFonts w:ascii="Arial" w:hAnsi="Arial" w:cs="Arial"/>
          <w:sz w:val="22"/>
          <w:szCs w:val="22"/>
          <w:lang w:val="en-GB"/>
        </w:rPr>
      </w:pPr>
      <w:r>
        <w:rPr>
          <w:rFonts w:ascii="Arial" w:hAnsi="Arial" w:cs="Arial"/>
          <w:sz w:val="22"/>
          <w:szCs w:val="22"/>
          <w:lang w:val="en-GB"/>
        </w:rPr>
        <w:t>Despite the limited progress on the project t</w:t>
      </w:r>
      <w:r w:rsidR="00BB1753" w:rsidRPr="00E228B3">
        <w:rPr>
          <w:rFonts w:ascii="Arial" w:hAnsi="Arial" w:cs="Arial"/>
          <w:sz w:val="22"/>
          <w:szCs w:val="22"/>
          <w:lang w:val="en-GB"/>
        </w:rPr>
        <w:t>he initial verbal feedback from students has been positive and it is anticipated that other work commitments will now allow a full implementation of the study guides and associated resources in the next academic year. This will allow for a much fuller evaluation of the project which will then</w:t>
      </w:r>
      <w:r w:rsidR="00AA279C" w:rsidRPr="00E228B3">
        <w:rPr>
          <w:rFonts w:ascii="Arial" w:hAnsi="Arial" w:cs="Arial"/>
          <w:sz w:val="22"/>
          <w:szCs w:val="22"/>
          <w:lang w:val="en-GB"/>
        </w:rPr>
        <w:t xml:space="preserve"> guide future developments.</w:t>
      </w:r>
      <w:r w:rsidR="0025125E">
        <w:rPr>
          <w:rFonts w:ascii="Arial" w:hAnsi="Arial" w:cs="Arial"/>
          <w:sz w:val="22"/>
          <w:szCs w:val="22"/>
          <w:lang w:val="en-GB"/>
        </w:rPr>
        <w:t xml:space="preserve"> It was interesting that a considerable number of students </w:t>
      </w:r>
      <w:r w:rsidR="00790920">
        <w:rPr>
          <w:rFonts w:ascii="Arial" w:hAnsi="Arial" w:cs="Arial"/>
          <w:sz w:val="22"/>
          <w:szCs w:val="22"/>
          <w:lang w:val="en-GB"/>
        </w:rPr>
        <w:t>(approaching 3</w:t>
      </w:r>
      <w:r w:rsidR="0025125E">
        <w:rPr>
          <w:rFonts w:ascii="Arial" w:hAnsi="Arial" w:cs="Arial"/>
          <w:sz w:val="22"/>
          <w:szCs w:val="22"/>
          <w:lang w:val="en-GB"/>
        </w:rPr>
        <w:t xml:space="preserve">0%) accessed the first </w:t>
      </w:r>
      <w:r w:rsidR="00F9463E">
        <w:rPr>
          <w:rFonts w:ascii="Arial" w:hAnsi="Arial" w:cs="Arial"/>
          <w:sz w:val="22"/>
          <w:szCs w:val="22"/>
          <w:lang w:val="en-GB"/>
        </w:rPr>
        <w:t xml:space="preserve">year </w:t>
      </w:r>
      <w:r w:rsidR="0025125E">
        <w:rPr>
          <w:rFonts w:ascii="Arial" w:hAnsi="Arial" w:cs="Arial"/>
          <w:sz w:val="22"/>
          <w:szCs w:val="22"/>
          <w:lang w:val="en-GB"/>
        </w:rPr>
        <w:t xml:space="preserve">study guides. It is evident that the students are demonstrating here a notable level of learner autonomy. When introducing the project to the students they were informed of the purpose of the resources and that they were to use these as and when they felt they needed help. </w:t>
      </w:r>
      <w:r w:rsidR="00FD55C0">
        <w:rPr>
          <w:rFonts w:ascii="Arial" w:hAnsi="Arial" w:cs="Arial"/>
          <w:sz w:val="22"/>
          <w:szCs w:val="22"/>
          <w:lang w:val="en-GB"/>
        </w:rPr>
        <w:t>It was also made clear to students that there was no content directly relevant to the statistics modules in these study guides.</w:t>
      </w:r>
      <w:r w:rsidR="00FB5EF9">
        <w:rPr>
          <w:rFonts w:ascii="Arial" w:hAnsi="Arial" w:cs="Arial"/>
          <w:sz w:val="22"/>
          <w:szCs w:val="22"/>
          <w:lang w:val="en-GB"/>
        </w:rPr>
        <w:t xml:space="preserve"> </w:t>
      </w:r>
      <w:r w:rsidR="0025125E">
        <w:rPr>
          <w:rFonts w:ascii="Arial" w:hAnsi="Arial" w:cs="Arial"/>
          <w:sz w:val="22"/>
          <w:szCs w:val="22"/>
          <w:lang w:val="en-GB"/>
        </w:rPr>
        <w:t xml:space="preserve">The degree of uptake </w:t>
      </w:r>
      <w:r w:rsidR="00F9463E">
        <w:rPr>
          <w:rFonts w:ascii="Arial" w:hAnsi="Arial" w:cs="Arial"/>
          <w:sz w:val="22"/>
          <w:szCs w:val="22"/>
          <w:lang w:val="en-GB"/>
        </w:rPr>
        <w:t xml:space="preserve">of the initial resources </w:t>
      </w:r>
      <w:r w:rsidR="00005228">
        <w:rPr>
          <w:rFonts w:ascii="Arial" w:hAnsi="Arial" w:cs="Arial"/>
          <w:sz w:val="22"/>
          <w:szCs w:val="22"/>
          <w:lang w:val="en-GB"/>
        </w:rPr>
        <w:t>by</w:t>
      </w:r>
      <w:r w:rsidR="0025125E">
        <w:rPr>
          <w:rFonts w:ascii="Arial" w:hAnsi="Arial" w:cs="Arial"/>
          <w:sz w:val="22"/>
          <w:szCs w:val="22"/>
          <w:lang w:val="en-GB"/>
        </w:rPr>
        <w:t xml:space="preserve"> students suggests that the students are actively thinking about their numerical skills and actively doing something to support their own learning. </w:t>
      </w:r>
      <w:r w:rsidR="00FD55C0">
        <w:rPr>
          <w:rFonts w:ascii="Arial" w:hAnsi="Arial" w:cs="Arial"/>
          <w:sz w:val="22"/>
          <w:szCs w:val="22"/>
          <w:lang w:val="en-GB"/>
        </w:rPr>
        <w:t>The fact that many students used the initial study guides suggests that they are happy to use appropriate resources to enhance their abilities to undertake the study of core material for the modules. This is a very promising finding from the perspective of promoting learner autonomy.</w:t>
      </w:r>
      <w:r w:rsidR="00790920">
        <w:rPr>
          <w:rFonts w:ascii="Arial" w:hAnsi="Arial" w:cs="Arial"/>
          <w:sz w:val="22"/>
          <w:szCs w:val="22"/>
          <w:lang w:val="en-GB"/>
        </w:rPr>
        <w:t xml:space="preserve"> It should be noted, however, </w:t>
      </w:r>
      <w:r w:rsidR="00392267">
        <w:rPr>
          <w:rFonts w:ascii="Arial" w:hAnsi="Arial" w:cs="Arial"/>
          <w:sz w:val="22"/>
          <w:szCs w:val="22"/>
          <w:lang w:val="en-GB"/>
        </w:rPr>
        <w:t xml:space="preserve">there is no evidence to suggest </w:t>
      </w:r>
      <w:r w:rsidR="00790920">
        <w:rPr>
          <w:rFonts w:ascii="Arial" w:hAnsi="Arial" w:cs="Arial"/>
          <w:sz w:val="22"/>
          <w:szCs w:val="22"/>
          <w:lang w:val="en-GB"/>
        </w:rPr>
        <w:t xml:space="preserve">that students </w:t>
      </w:r>
      <w:r w:rsidR="00392267">
        <w:rPr>
          <w:rFonts w:ascii="Arial" w:hAnsi="Arial" w:cs="Arial"/>
          <w:sz w:val="22"/>
          <w:szCs w:val="22"/>
          <w:lang w:val="en-GB"/>
        </w:rPr>
        <w:t xml:space="preserve">accessing </w:t>
      </w:r>
      <w:r w:rsidR="00790920">
        <w:rPr>
          <w:rFonts w:ascii="Arial" w:hAnsi="Arial" w:cs="Arial"/>
          <w:sz w:val="22"/>
          <w:szCs w:val="22"/>
          <w:lang w:val="en-GB"/>
        </w:rPr>
        <w:t xml:space="preserve">the study guides in Blackboard </w:t>
      </w:r>
      <w:r w:rsidR="00392267">
        <w:rPr>
          <w:rFonts w:ascii="Arial" w:hAnsi="Arial" w:cs="Arial"/>
          <w:sz w:val="22"/>
          <w:szCs w:val="22"/>
          <w:lang w:val="en-GB"/>
        </w:rPr>
        <w:t>are</w:t>
      </w:r>
      <w:r w:rsidR="00790920">
        <w:rPr>
          <w:rFonts w:ascii="Arial" w:hAnsi="Arial" w:cs="Arial"/>
          <w:sz w:val="22"/>
          <w:szCs w:val="22"/>
          <w:lang w:val="en-GB"/>
        </w:rPr>
        <w:t xml:space="preserve"> </w:t>
      </w:r>
      <w:r w:rsidR="00392267">
        <w:rPr>
          <w:rFonts w:ascii="Arial" w:hAnsi="Arial" w:cs="Arial"/>
          <w:sz w:val="22"/>
          <w:szCs w:val="22"/>
          <w:lang w:val="en-GB"/>
        </w:rPr>
        <w:t xml:space="preserve">engaging </w:t>
      </w:r>
      <w:r w:rsidR="00790920">
        <w:rPr>
          <w:rFonts w:ascii="Arial" w:hAnsi="Arial" w:cs="Arial"/>
          <w:sz w:val="22"/>
          <w:szCs w:val="22"/>
          <w:lang w:val="en-GB"/>
        </w:rPr>
        <w:t xml:space="preserve">with it in any </w:t>
      </w:r>
      <w:r w:rsidR="00005228">
        <w:rPr>
          <w:rFonts w:ascii="Arial" w:hAnsi="Arial" w:cs="Arial"/>
          <w:sz w:val="22"/>
          <w:szCs w:val="22"/>
          <w:lang w:val="en-GB"/>
        </w:rPr>
        <w:t xml:space="preserve">meaningful </w:t>
      </w:r>
      <w:r w:rsidR="00790920">
        <w:rPr>
          <w:rFonts w:ascii="Arial" w:hAnsi="Arial" w:cs="Arial"/>
          <w:sz w:val="22"/>
          <w:szCs w:val="22"/>
          <w:lang w:val="en-GB"/>
        </w:rPr>
        <w:t xml:space="preserve">way. </w:t>
      </w:r>
    </w:p>
    <w:p w:rsidR="00AA279C" w:rsidRPr="00E228B3" w:rsidRDefault="00AA279C" w:rsidP="00BB1753">
      <w:pPr>
        <w:rPr>
          <w:rFonts w:ascii="Arial" w:hAnsi="Arial" w:cs="Arial"/>
          <w:sz w:val="22"/>
          <w:szCs w:val="22"/>
          <w:lang w:val="en-GB"/>
        </w:rPr>
      </w:pPr>
    </w:p>
    <w:p w:rsidR="00AA279C" w:rsidRPr="00E228B3" w:rsidRDefault="00AA279C" w:rsidP="007454EF">
      <w:pPr>
        <w:rPr>
          <w:rFonts w:ascii="Arial" w:hAnsi="Arial" w:cs="Arial"/>
          <w:sz w:val="22"/>
          <w:szCs w:val="22"/>
          <w:lang w:val="en-GB"/>
        </w:rPr>
      </w:pPr>
      <w:r w:rsidRPr="00E228B3">
        <w:rPr>
          <w:rFonts w:ascii="Arial" w:hAnsi="Arial" w:cs="Arial"/>
          <w:sz w:val="22"/>
          <w:szCs w:val="22"/>
          <w:lang w:val="en-GB"/>
        </w:rPr>
        <w:t>One of the positive outcomes from bei</w:t>
      </w:r>
      <w:r w:rsidR="00005228">
        <w:rPr>
          <w:rFonts w:ascii="Arial" w:hAnsi="Arial" w:cs="Arial"/>
          <w:sz w:val="22"/>
          <w:szCs w:val="22"/>
          <w:lang w:val="en-GB"/>
        </w:rPr>
        <w:t xml:space="preserve">ng involved with the project is realisation that there is considerable </w:t>
      </w:r>
      <w:r w:rsidRPr="00E228B3">
        <w:rPr>
          <w:rFonts w:ascii="Arial" w:hAnsi="Arial" w:cs="Arial"/>
          <w:sz w:val="22"/>
          <w:szCs w:val="22"/>
          <w:lang w:val="en-GB"/>
        </w:rPr>
        <w:t>interest in supporting students in the</w:t>
      </w:r>
      <w:r w:rsidR="00392267">
        <w:rPr>
          <w:rFonts w:ascii="Arial" w:hAnsi="Arial" w:cs="Arial"/>
          <w:sz w:val="22"/>
          <w:szCs w:val="22"/>
          <w:lang w:val="en-GB"/>
        </w:rPr>
        <w:t>ir</w:t>
      </w:r>
      <w:r w:rsidRPr="00E228B3">
        <w:rPr>
          <w:rFonts w:ascii="Arial" w:hAnsi="Arial" w:cs="Arial"/>
          <w:sz w:val="22"/>
          <w:szCs w:val="22"/>
          <w:lang w:val="en-GB"/>
        </w:rPr>
        <w:t xml:space="preserve"> numerical and mathematical developments</w:t>
      </w:r>
      <w:r w:rsidR="00392267">
        <w:rPr>
          <w:rFonts w:ascii="Arial" w:hAnsi="Arial" w:cs="Arial"/>
          <w:sz w:val="22"/>
          <w:szCs w:val="22"/>
          <w:lang w:val="en-GB"/>
        </w:rPr>
        <w:t xml:space="preserve"> across the higher education sector</w:t>
      </w:r>
      <w:r w:rsidRPr="00E228B3">
        <w:rPr>
          <w:rFonts w:ascii="Arial" w:hAnsi="Arial" w:cs="Arial"/>
          <w:sz w:val="22"/>
          <w:szCs w:val="22"/>
          <w:lang w:val="en-GB"/>
        </w:rPr>
        <w:t xml:space="preserve">. I have been fortunate to be in communication with researchers/lecturers in other institutions who are developing resources along similar lines to those being generated in </w:t>
      </w:r>
      <w:r w:rsidR="00392267">
        <w:rPr>
          <w:rFonts w:ascii="Arial" w:hAnsi="Arial" w:cs="Arial"/>
          <w:sz w:val="22"/>
          <w:szCs w:val="22"/>
          <w:lang w:val="en-GB"/>
        </w:rPr>
        <w:t>this</w:t>
      </w:r>
      <w:r w:rsidRPr="00E228B3">
        <w:rPr>
          <w:rFonts w:ascii="Arial" w:hAnsi="Arial" w:cs="Arial"/>
          <w:sz w:val="22"/>
          <w:szCs w:val="22"/>
          <w:lang w:val="en-GB"/>
        </w:rPr>
        <w:t xml:space="preserve"> project</w:t>
      </w:r>
      <w:r w:rsidR="008A72AC" w:rsidRPr="00E228B3">
        <w:rPr>
          <w:rFonts w:ascii="Arial" w:hAnsi="Arial" w:cs="Arial"/>
          <w:sz w:val="22"/>
          <w:szCs w:val="22"/>
          <w:lang w:val="en-GB"/>
        </w:rPr>
        <w:t xml:space="preserve"> (e.g. the Centre for Excellence in Mathematics and Statistics Support based at the Loughborough </w:t>
      </w:r>
      <w:r w:rsidR="00300979">
        <w:rPr>
          <w:rFonts w:ascii="Arial" w:hAnsi="Arial" w:cs="Arial"/>
          <w:sz w:val="22"/>
          <w:szCs w:val="22"/>
          <w:lang w:val="en-GB"/>
        </w:rPr>
        <w:t xml:space="preserve">University </w:t>
      </w:r>
      <w:r w:rsidR="008A72AC" w:rsidRPr="00E228B3">
        <w:rPr>
          <w:rFonts w:ascii="Arial" w:hAnsi="Arial" w:cs="Arial"/>
          <w:sz w:val="22"/>
          <w:szCs w:val="22"/>
          <w:lang w:val="en-GB"/>
        </w:rPr>
        <w:t>and Coventry</w:t>
      </w:r>
      <w:r w:rsidR="00300979">
        <w:rPr>
          <w:rFonts w:ascii="Arial" w:hAnsi="Arial" w:cs="Arial"/>
          <w:sz w:val="22"/>
          <w:szCs w:val="22"/>
          <w:lang w:val="en-GB"/>
        </w:rPr>
        <w:t xml:space="preserve"> University</w:t>
      </w:r>
      <w:r w:rsidR="008A72AC" w:rsidRPr="00E228B3">
        <w:rPr>
          <w:rFonts w:ascii="Arial" w:hAnsi="Arial" w:cs="Arial"/>
          <w:sz w:val="22"/>
          <w:szCs w:val="22"/>
          <w:lang w:val="en-GB"/>
        </w:rPr>
        <w:t>)</w:t>
      </w:r>
      <w:r w:rsidRPr="00E228B3">
        <w:rPr>
          <w:rFonts w:ascii="Arial" w:hAnsi="Arial" w:cs="Arial"/>
          <w:sz w:val="22"/>
          <w:szCs w:val="22"/>
          <w:lang w:val="en-GB"/>
        </w:rPr>
        <w:t xml:space="preserve">. Perhaps the key difference </w:t>
      </w:r>
      <w:r w:rsidR="00300979">
        <w:rPr>
          <w:rFonts w:ascii="Arial" w:hAnsi="Arial" w:cs="Arial"/>
          <w:sz w:val="22"/>
          <w:szCs w:val="22"/>
          <w:lang w:val="en-GB"/>
        </w:rPr>
        <w:t xml:space="preserve">here at Sheffield Hallam </w:t>
      </w:r>
      <w:r w:rsidR="0017433E">
        <w:rPr>
          <w:rFonts w:ascii="Arial" w:hAnsi="Arial" w:cs="Arial"/>
          <w:sz w:val="22"/>
          <w:szCs w:val="22"/>
          <w:lang w:val="en-GB"/>
        </w:rPr>
        <w:t xml:space="preserve">University </w:t>
      </w:r>
      <w:r w:rsidRPr="00E228B3">
        <w:rPr>
          <w:rFonts w:ascii="Arial" w:hAnsi="Arial" w:cs="Arial"/>
          <w:sz w:val="22"/>
          <w:szCs w:val="22"/>
          <w:lang w:val="en-GB"/>
        </w:rPr>
        <w:t xml:space="preserve">is that the guides </w:t>
      </w:r>
      <w:r w:rsidR="00300979">
        <w:rPr>
          <w:rFonts w:ascii="Arial" w:hAnsi="Arial" w:cs="Arial"/>
          <w:sz w:val="22"/>
          <w:szCs w:val="22"/>
          <w:lang w:val="en-GB"/>
        </w:rPr>
        <w:t xml:space="preserve">currently </w:t>
      </w:r>
      <w:r w:rsidRPr="00E228B3">
        <w:rPr>
          <w:rFonts w:ascii="Arial" w:hAnsi="Arial" w:cs="Arial"/>
          <w:sz w:val="22"/>
          <w:szCs w:val="22"/>
          <w:lang w:val="en-GB"/>
        </w:rPr>
        <w:t>being developed are more basic than those that have been developed elsewhere. The emphasis of the current project is on reactivating mathematical/numerical concepts which students have previously mastered but may have forgotten</w:t>
      </w:r>
      <w:r w:rsidR="007454EF">
        <w:rPr>
          <w:rFonts w:ascii="Arial" w:hAnsi="Arial" w:cs="Arial"/>
          <w:sz w:val="22"/>
          <w:szCs w:val="22"/>
          <w:lang w:val="en-GB"/>
        </w:rPr>
        <w:t xml:space="preserve"> </w:t>
      </w:r>
      <w:r w:rsidRPr="00E228B3">
        <w:rPr>
          <w:rFonts w:ascii="Arial" w:hAnsi="Arial" w:cs="Arial"/>
          <w:sz w:val="22"/>
          <w:szCs w:val="22"/>
          <w:lang w:val="en-GB"/>
        </w:rPr>
        <w:t xml:space="preserve">or which </w:t>
      </w:r>
      <w:r w:rsidR="00300979">
        <w:rPr>
          <w:rFonts w:ascii="Arial" w:hAnsi="Arial" w:cs="Arial"/>
          <w:sz w:val="22"/>
          <w:szCs w:val="22"/>
          <w:lang w:val="en-GB"/>
        </w:rPr>
        <w:t>through practice may have become non-conscious</w:t>
      </w:r>
      <w:r w:rsidRPr="00E228B3">
        <w:rPr>
          <w:rFonts w:ascii="Arial" w:hAnsi="Arial" w:cs="Arial"/>
          <w:sz w:val="22"/>
          <w:szCs w:val="22"/>
          <w:lang w:val="en-GB"/>
        </w:rPr>
        <w:t xml:space="preserve">. </w:t>
      </w:r>
      <w:r w:rsidR="007454EF">
        <w:rPr>
          <w:rFonts w:ascii="Arial" w:hAnsi="Arial" w:cs="Arial"/>
          <w:sz w:val="22"/>
          <w:szCs w:val="22"/>
          <w:lang w:val="en-GB"/>
        </w:rPr>
        <w:t>Thus t</w:t>
      </w:r>
      <w:r w:rsidRPr="00E228B3">
        <w:rPr>
          <w:rFonts w:ascii="Arial" w:hAnsi="Arial" w:cs="Arial"/>
          <w:sz w:val="22"/>
          <w:szCs w:val="22"/>
          <w:lang w:val="en-GB"/>
        </w:rPr>
        <w:t xml:space="preserve">he aim </w:t>
      </w:r>
      <w:r w:rsidR="007454EF">
        <w:rPr>
          <w:rFonts w:ascii="Arial" w:hAnsi="Arial" w:cs="Arial"/>
          <w:sz w:val="22"/>
          <w:szCs w:val="22"/>
          <w:lang w:val="en-GB"/>
        </w:rPr>
        <w:t xml:space="preserve">has been </w:t>
      </w:r>
      <w:r w:rsidRPr="00E228B3">
        <w:rPr>
          <w:rFonts w:ascii="Arial" w:hAnsi="Arial" w:cs="Arial"/>
          <w:sz w:val="22"/>
          <w:szCs w:val="22"/>
          <w:lang w:val="en-GB"/>
        </w:rPr>
        <w:t>to illustrate to students how much they already know and make the links between this knowledge and their methods/statistics course more explicit</w:t>
      </w:r>
      <w:r w:rsidR="007454EF">
        <w:rPr>
          <w:rFonts w:ascii="Arial" w:hAnsi="Arial" w:cs="Arial"/>
          <w:sz w:val="22"/>
          <w:szCs w:val="22"/>
          <w:lang w:val="en-GB"/>
        </w:rPr>
        <w:t xml:space="preserve">, </w:t>
      </w:r>
      <w:r w:rsidRPr="00E228B3">
        <w:rPr>
          <w:rFonts w:ascii="Arial" w:hAnsi="Arial" w:cs="Arial"/>
          <w:sz w:val="22"/>
          <w:szCs w:val="22"/>
          <w:lang w:val="en-GB"/>
        </w:rPr>
        <w:t xml:space="preserve">thereby improving </w:t>
      </w:r>
      <w:r w:rsidR="007454EF">
        <w:rPr>
          <w:rFonts w:ascii="Arial" w:hAnsi="Arial" w:cs="Arial"/>
          <w:sz w:val="22"/>
          <w:szCs w:val="22"/>
          <w:lang w:val="en-GB"/>
        </w:rPr>
        <w:t xml:space="preserve">the students' </w:t>
      </w:r>
      <w:r w:rsidRPr="00E228B3">
        <w:rPr>
          <w:rFonts w:ascii="Arial" w:hAnsi="Arial" w:cs="Arial"/>
          <w:sz w:val="22"/>
          <w:szCs w:val="22"/>
          <w:lang w:val="en-GB"/>
        </w:rPr>
        <w:t>self-confidence.</w:t>
      </w:r>
    </w:p>
    <w:p w:rsidR="00BE3DE3" w:rsidRPr="00E228B3" w:rsidRDefault="00BE3DE3" w:rsidP="003900EB">
      <w:pPr>
        <w:rPr>
          <w:rFonts w:ascii="Arial" w:hAnsi="Arial" w:cs="Arial"/>
          <w:sz w:val="22"/>
          <w:szCs w:val="22"/>
          <w:lang w:val="en-GB"/>
        </w:rPr>
      </w:pPr>
    </w:p>
    <w:p w:rsidR="00D25061" w:rsidRDefault="00D25061" w:rsidP="00DD46D7">
      <w:pPr>
        <w:rPr>
          <w:rFonts w:ascii="Arial" w:hAnsi="Arial" w:cs="Arial"/>
          <w:b/>
          <w:bCs/>
          <w:sz w:val="22"/>
          <w:szCs w:val="22"/>
          <w:lang w:val="en-GB"/>
        </w:rPr>
      </w:pPr>
    </w:p>
    <w:p w:rsidR="00B2627A" w:rsidRPr="00E228B3" w:rsidRDefault="00B2627A" w:rsidP="00DD46D7">
      <w:pPr>
        <w:rPr>
          <w:rFonts w:ascii="Arial" w:hAnsi="Arial" w:cs="Arial"/>
          <w:b/>
          <w:bCs/>
          <w:sz w:val="22"/>
          <w:szCs w:val="22"/>
          <w:lang w:val="en-GB"/>
        </w:rPr>
      </w:pPr>
      <w:r w:rsidRPr="00E228B3">
        <w:rPr>
          <w:rFonts w:ascii="Arial" w:hAnsi="Arial" w:cs="Arial"/>
          <w:b/>
          <w:bCs/>
          <w:sz w:val="22"/>
          <w:szCs w:val="22"/>
          <w:lang w:val="en-GB"/>
        </w:rPr>
        <w:t>References</w:t>
      </w:r>
    </w:p>
    <w:p w:rsidR="00E228B3" w:rsidRPr="00E228B3" w:rsidRDefault="00E228B3" w:rsidP="008A72AC">
      <w:pPr>
        <w:rPr>
          <w:rFonts w:ascii="Arial" w:hAnsi="Arial" w:cs="Arial"/>
          <w:sz w:val="22"/>
          <w:szCs w:val="22"/>
        </w:rPr>
      </w:pPr>
    </w:p>
    <w:p w:rsidR="008A72AC" w:rsidRPr="00E228B3" w:rsidRDefault="008A72AC" w:rsidP="00D24EAB">
      <w:pPr>
        <w:spacing w:after="120" w:line="276" w:lineRule="auto"/>
        <w:rPr>
          <w:rFonts w:ascii="Arial" w:hAnsi="Arial" w:cs="Arial"/>
          <w:sz w:val="22"/>
          <w:szCs w:val="22"/>
        </w:rPr>
      </w:pPr>
      <w:r w:rsidRPr="00E228B3">
        <w:rPr>
          <w:rFonts w:ascii="Arial" w:hAnsi="Arial" w:cs="Arial"/>
          <w:sz w:val="22"/>
          <w:szCs w:val="22"/>
        </w:rPr>
        <w:t xml:space="preserve">Cruise, R.J. &amp; Wilkins, E.M. (1980). STARS: Statistics Anxiety Ratings Scale. </w:t>
      </w:r>
      <w:r w:rsidR="00D24EAB">
        <w:rPr>
          <w:rFonts w:ascii="Arial" w:hAnsi="Arial" w:cs="Arial"/>
          <w:sz w:val="22"/>
          <w:szCs w:val="22"/>
        </w:rPr>
        <w:t>U</w:t>
      </w:r>
      <w:r w:rsidRPr="00E228B3">
        <w:rPr>
          <w:rFonts w:ascii="Arial" w:hAnsi="Arial" w:cs="Arial"/>
          <w:sz w:val="22"/>
          <w:szCs w:val="22"/>
        </w:rPr>
        <w:t>npublished manuscript, Andrews University, Berrien Springs, MI.</w:t>
      </w:r>
    </w:p>
    <w:p w:rsidR="00141636" w:rsidRDefault="00141636" w:rsidP="00D24EAB">
      <w:pPr>
        <w:autoSpaceDE w:val="0"/>
        <w:autoSpaceDN w:val="0"/>
        <w:adjustRightInd w:val="0"/>
        <w:spacing w:after="120" w:line="276" w:lineRule="auto"/>
        <w:rPr>
          <w:rFonts w:ascii="Arial" w:hAnsi="Arial" w:cs="Arial"/>
          <w:sz w:val="22"/>
          <w:szCs w:val="22"/>
        </w:rPr>
      </w:pPr>
      <w:r>
        <w:rPr>
          <w:rFonts w:ascii="Arial" w:hAnsi="Arial" w:cs="Arial"/>
          <w:sz w:val="22"/>
          <w:szCs w:val="22"/>
        </w:rPr>
        <w:t xml:space="preserve">Farbey, L.J. &amp; Roberts, D.M. (1981). </w:t>
      </w:r>
      <w:r w:rsidRPr="00141636">
        <w:rPr>
          <w:rFonts w:ascii="Arial" w:hAnsi="Arial" w:cs="Arial"/>
          <w:i/>
          <w:sz w:val="22"/>
          <w:szCs w:val="22"/>
        </w:rPr>
        <w:t>The effect of calculator usage and task difficulty on state anxiety in solving statistical problems</w:t>
      </w:r>
      <w:r>
        <w:rPr>
          <w:rFonts w:ascii="Arial" w:hAnsi="Arial" w:cs="Arial"/>
          <w:sz w:val="22"/>
          <w:szCs w:val="22"/>
        </w:rPr>
        <w:t>. Paper presented at the Annual Meeting of the American Educational Research Association, Los Angeles, CA, April.</w:t>
      </w:r>
    </w:p>
    <w:p w:rsidR="008B5F68" w:rsidRDefault="008B5F68" w:rsidP="00D24EAB">
      <w:pPr>
        <w:autoSpaceDE w:val="0"/>
        <w:autoSpaceDN w:val="0"/>
        <w:adjustRightInd w:val="0"/>
        <w:spacing w:after="120" w:line="276" w:lineRule="auto"/>
        <w:rPr>
          <w:rFonts w:ascii="Arial" w:hAnsi="Arial" w:cs="Arial"/>
          <w:sz w:val="22"/>
          <w:szCs w:val="22"/>
        </w:rPr>
      </w:pPr>
      <w:r>
        <w:rPr>
          <w:rFonts w:ascii="Arial" w:hAnsi="Arial" w:cs="Arial"/>
          <w:sz w:val="22"/>
          <w:szCs w:val="22"/>
        </w:rPr>
        <w:t>Hanna, D., Shevlin, M. &amp; Dempster, M</w:t>
      </w:r>
      <w:r w:rsidRPr="008B5F68">
        <w:rPr>
          <w:rFonts w:ascii="Arial" w:hAnsi="Arial" w:cs="Arial"/>
          <w:sz w:val="22"/>
          <w:szCs w:val="22"/>
        </w:rPr>
        <w:t xml:space="preserve">. </w:t>
      </w:r>
      <w:r w:rsidR="00005228">
        <w:rPr>
          <w:rFonts w:ascii="Arial" w:hAnsi="Arial" w:cs="Arial"/>
          <w:sz w:val="22"/>
          <w:szCs w:val="22"/>
        </w:rPr>
        <w:t xml:space="preserve">(2008). </w:t>
      </w:r>
      <w:r w:rsidRPr="008B5F68">
        <w:rPr>
          <w:rFonts w:ascii="Arial" w:hAnsi="Arial" w:cs="Arial"/>
          <w:sz w:val="22"/>
          <w:szCs w:val="22"/>
          <w:lang w:val="en-GB" w:eastAsia="en-GB"/>
        </w:rPr>
        <w:t>The structure of the statistics anxiety rating scale: A confirmatory</w:t>
      </w:r>
      <w:r>
        <w:rPr>
          <w:rFonts w:ascii="Arial" w:hAnsi="Arial" w:cs="Arial"/>
          <w:sz w:val="22"/>
          <w:szCs w:val="22"/>
          <w:lang w:val="en-GB" w:eastAsia="en-GB"/>
        </w:rPr>
        <w:t xml:space="preserve"> </w:t>
      </w:r>
      <w:r w:rsidRPr="008B5F68">
        <w:rPr>
          <w:rFonts w:ascii="Arial" w:hAnsi="Arial" w:cs="Arial"/>
          <w:sz w:val="22"/>
          <w:szCs w:val="22"/>
          <w:lang w:val="en-GB" w:eastAsia="en-GB"/>
        </w:rPr>
        <w:t>factor analysis using UK psychology students</w:t>
      </w:r>
      <w:r>
        <w:rPr>
          <w:rFonts w:ascii="Arial" w:hAnsi="Arial" w:cs="Arial"/>
          <w:sz w:val="22"/>
          <w:szCs w:val="22"/>
          <w:lang w:val="en-GB" w:eastAsia="en-GB"/>
        </w:rPr>
        <w:t xml:space="preserve">. </w:t>
      </w:r>
      <w:r w:rsidRPr="008B5F68">
        <w:rPr>
          <w:rFonts w:ascii="Arial" w:hAnsi="Arial" w:cs="Arial"/>
          <w:i/>
          <w:sz w:val="22"/>
          <w:szCs w:val="22"/>
          <w:lang w:val="en-GB" w:eastAsia="en-GB"/>
        </w:rPr>
        <w:t xml:space="preserve">Personality and Individual Differences, </w:t>
      </w:r>
      <w:r>
        <w:rPr>
          <w:rFonts w:ascii="Arial" w:hAnsi="Arial" w:cs="Arial"/>
          <w:i/>
          <w:sz w:val="22"/>
          <w:szCs w:val="22"/>
          <w:lang w:val="en-GB" w:eastAsia="en-GB"/>
        </w:rPr>
        <w:t>45</w:t>
      </w:r>
      <w:r>
        <w:rPr>
          <w:rFonts w:ascii="Arial" w:hAnsi="Arial" w:cs="Arial"/>
          <w:sz w:val="22"/>
          <w:szCs w:val="22"/>
          <w:lang w:val="en-GB" w:eastAsia="en-GB"/>
        </w:rPr>
        <w:t>, 68-74.</w:t>
      </w:r>
    </w:p>
    <w:p w:rsidR="008A72AC" w:rsidRPr="00E228B3" w:rsidRDefault="008A72AC" w:rsidP="00D24EAB">
      <w:pPr>
        <w:spacing w:after="120" w:line="276" w:lineRule="auto"/>
        <w:rPr>
          <w:rFonts w:ascii="Arial" w:hAnsi="Arial" w:cs="Arial"/>
          <w:sz w:val="22"/>
          <w:szCs w:val="22"/>
        </w:rPr>
      </w:pPr>
      <w:r w:rsidRPr="00E228B3">
        <w:rPr>
          <w:rFonts w:ascii="Arial" w:hAnsi="Arial" w:cs="Arial"/>
          <w:sz w:val="22"/>
          <w:szCs w:val="22"/>
        </w:rPr>
        <w:lastRenderedPageBreak/>
        <w:t xml:space="preserve">Mulhern, G. &amp; Wylie, J. (2005). </w:t>
      </w:r>
      <w:r w:rsidRPr="00E228B3">
        <w:rPr>
          <w:rFonts w:ascii="Arial" w:hAnsi="Arial" w:cs="Arial"/>
          <w:i/>
          <w:iCs/>
          <w:sz w:val="22"/>
          <w:szCs w:val="22"/>
          <w:lang w:val="en-GB"/>
        </w:rPr>
        <w:t>Assessing numeracy and other mathematical skills in psychology students as a basis for learning statistics</w:t>
      </w:r>
      <w:r w:rsidRPr="00E228B3">
        <w:rPr>
          <w:rFonts w:ascii="Arial" w:hAnsi="Arial" w:cs="Arial"/>
          <w:sz w:val="22"/>
          <w:szCs w:val="22"/>
        </w:rPr>
        <w:t>. Mini-project for the HEA Psychology Network.</w:t>
      </w:r>
    </w:p>
    <w:p w:rsidR="008A72AC" w:rsidRPr="00E228B3" w:rsidRDefault="008A72AC" w:rsidP="00D24EAB">
      <w:pPr>
        <w:spacing w:after="120" w:line="276" w:lineRule="auto"/>
        <w:rPr>
          <w:rFonts w:ascii="Arial" w:hAnsi="Arial" w:cs="Arial"/>
          <w:sz w:val="22"/>
          <w:szCs w:val="22"/>
        </w:rPr>
      </w:pPr>
      <w:r w:rsidRPr="00E228B3">
        <w:rPr>
          <w:rFonts w:ascii="Arial" w:hAnsi="Arial" w:cs="Arial"/>
          <w:sz w:val="22"/>
          <w:szCs w:val="22"/>
        </w:rPr>
        <w:t xml:space="preserve">Onwegbuzie, A.J., Daros, D. &amp; Ryan, J. (1997) The components of statistics anxiety: a phenomenological study, </w:t>
      </w:r>
      <w:r w:rsidRPr="00E228B3">
        <w:rPr>
          <w:rFonts w:ascii="Arial" w:hAnsi="Arial" w:cs="Arial"/>
          <w:i/>
          <w:iCs/>
          <w:sz w:val="22"/>
          <w:szCs w:val="22"/>
        </w:rPr>
        <w:t>Focus on Learning Problems in Mathematics</w:t>
      </w:r>
      <w:r w:rsidRPr="00E228B3">
        <w:rPr>
          <w:rFonts w:ascii="Arial" w:hAnsi="Arial" w:cs="Arial"/>
          <w:sz w:val="22"/>
          <w:szCs w:val="22"/>
        </w:rPr>
        <w:t>, 19(4), 11–35.</w:t>
      </w:r>
    </w:p>
    <w:p w:rsidR="008A72AC" w:rsidRPr="00E228B3" w:rsidRDefault="008A72AC" w:rsidP="00D24EAB">
      <w:pPr>
        <w:spacing w:after="120" w:line="276" w:lineRule="auto"/>
        <w:rPr>
          <w:rFonts w:ascii="Arial" w:hAnsi="Arial" w:cs="Arial"/>
          <w:sz w:val="22"/>
          <w:szCs w:val="22"/>
        </w:rPr>
      </w:pPr>
      <w:r w:rsidRPr="00E228B3">
        <w:rPr>
          <w:rFonts w:ascii="Arial" w:hAnsi="Arial" w:cs="Arial"/>
          <w:sz w:val="22"/>
          <w:szCs w:val="22"/>
        </w:rPr>
        <w:t xml:space="preserve">Onwegbuzie, A.J. &amp; Wilson, J.A. (2003). Statistics Anxiety: nature, etiology, antecedents, effect, and treatments – a comprehensive review of the literature. </w:t>
      </w:r>
      <w:r w:rsidRPr="00E228B3">
        <w:rPr>
          <w:rFonts w:ascii="Arial" w:hAnsi="Arial" w:cs="Arial"/>
          <w:i/>
          <w:iCs/>
          <w:sz w:val="22"/>
          <w:szCs w:val="22"/>
        </w:rPr>
        <w:t>Teaching in Higher Education, 8,</w:t>
      </w:r>
      <w:r w:rsidRPr="00E228B3">
        <w:rPr>
          <w:rFonts w:ascii="Arial" w:hAnsi="Arial" w:cs="Arial"/>
          <w:sz w:val="22"/>
          <w:szCs w:val="22"/>
        </w:rPr>
        <w:t xml:space="preserve"> 195-209.</w:t>
      </w:r>
    </w:p>
    <w:p w:rsidR="008A72AC" w:rsidRDefault="008A72AC" w:rsidP="00D24EAB">
      <w:pPr>
        <w:spacing w:after="120" w:line="276" w:lineRule="auto"/>
        <w:rPr>
          <w:rFonts w:ascii="Arial" w:hAnsi="Arial" w:cs="Arial"/>
          <w:sz w:val="22"/>
          <w:szCs w:val="22"/>
        </w:rPr>
      </w:pPr>
      <w:r w:rsidRPr="00E228B3">
        <w:rPr>
          <w:rFonts w:ascii="Arial" w:hAnsi="Arial" w:cs="Arial"/>
          <w:sz w:val="22"/>
          <w:szCs w:val="22"/>
        </w:rPr>
        <w:t xml:space="preserve">Pierce, R., Stacey, K. &amp; Barkatsas, A. (2007). A scale for monitoring students’ attitudes to learning mathematics with technology. </w:t>
      </w:r>
      <w:r w:rsidRPr="00E228B3">
        <w:rPr>
          <w:rFonts w:ascii="Arial" w:hAnsi="Arial" w:cs="Arial"/>
          <w:i/>
          <w:iCs/>
          <w:sz w:val="22"/>
          <w:szCs w:val="22"/>
        </w:rPr>
        <w:t xml:space="preserve">Computers &amp; Education, 48, </w:t>
      </w:r>
      <w:r w:rsidRPr="00E228B3">
        <w:rPr>
          <w:rFonts w:ascii="Arial" w:hAnsi="Arial" w:cs="Arial"/>
          <w:sz w:val="22"/>
          <w:szCs w:val="22"/>
        </w:rPr>
        <w:t>285-300.</w:t>
      </w:r>
    </w:p>
    <w:p w:rsidR="00312364" w:rsidRPr="00D24EAB" w:rsidRDefault="00312364" w:rsidP="00D24EAB">
      <w:pPr>
        <w:spacing w:after="120" w:line="276" w:lineRule="auto"/>
        <w:rPr>
          <w:rFonts w:ascii="Arial" w:hAnsi="Arial" w:cs="Arial"/>
          <w:sz w:val="22"/>
          <w:szCs w:val="22"/>
        </w:rPr>
      </w:pPr>
      <w:r>
        <w:rPr>
          <w:rFonts w:ascii="Arial" w:hAnsi="Arial" w:cs="Arial"/>
          <w:sz w:val="22"/>
          <w:szCs w:val="22"/>
        </w:rPr>
        <w:t xml:space="preserve">Seabrook, </w:t>
      </w:r>
      <w:r w:rsidR="00D24EAB">
        <w:rPr>
          <w:rFonts w:ascii="Arial" w:hAnsi="Arial" w:cs="Arial"/>
          <w:sz w:val="22"/>
          <w:szCs w:val="22"/>
        </w:rPr>
        <w:t xml:space="preserve">R. (2005). Is the teaching of statistical calculations helpful to students’ statistical thinking? </w:t>
      </w:r>
      <w:r w:rsidR="00D24EAB">
        <w:rPr>
          <w:rFonts w:ascii="Arial" w:hAnsi="Arial" w:cs="Arial"/>
          <w:i/>
          <w:sz w:val="22"/>
          <w:szCs w:val="22"/>
        </w:rPr>
        <w:t>Psychology Learning and Teaching, 5,</w:t>
      </w:r>
      <w:r w:rsidR="00D24EAB">
        <w:rPr>
          <w:rFonts w:ascii="Arial" w:hAnsi="Arial" w:cs="Arial"/>
          <w:sz w:val="22"/>
          <w:szCs w:val="22"/>
        </w:rPr>
        <w:t xml:space="preserve"> 153-161.</w:t>
      </w:r>
    </w:p>
    <w:p w:rsidR="008A72AC" w:rsidRPr="00E228B3" w:rsidRDefault="008A72AC" w:rsidP="00D24EAB">
      <w:pPr>
        <w:spacing w:after="120" w:line="276" w:lineRule="auto"/>
        <w:rPr>
          <w:rFonts w:ascii="Arial" w:hAnsi="Arial" w:cs="Arial"/>
          <w:sz w:val="22"/>
          <w:szCs w:val="22"/>
        </w:rPr>
      </w:pPr>
      <w:r w:rsidRPr="00E228B3">
        <w:rPr>
          <w:rFonts w:ascii="Arial" w:hAnsi="Arial" w:cs="Arial"/>
          <w:sz w:val="22"/>
          <w:szCs w:val="22"/>
        </w:rPr>
        <w:t xml:space="preserve">Zeidner, M. (1991). Statistics and mathematics anxiety in social science students- some interesting parallels. </w:t>
      </w:r>
      <w:r w:rsidRPr="00E228B3">
        <w:rPr>
          <w:rFonts w:ascii="Arial" w:hAnsi="Arial" w:cs="Arial"/>
          <w:i/>
          <w:iCs/>
          <w:sz w:val="22"/>
          <w:szCs w:val="22"/>
        </w:rPr>
        <w:t>British Journal of Educational Psychology, 61,</w:t>
      </w:r>
      <w:r w:rsidRPr="00E228B3">
        <w:rPr>
          <w:rFonts w:ascii="Arial" w:hAnsi="Arial" w:cs="Arial"/>
          <w:sz w:val="22"/>
          <w:szCs w:val="22"/>
        </w:rPr>
        <w:t>319-328.</w:t>
      </w:r>
    </w:p>
    <w:sectPr w:rsidR="008A72AC" w:rsidRPr="00E228B3" w:rsidSect="008E3C97">
      <w:pgSz w:w="12240" w:h="15840"/>
      <w:pgMar w:top="719" w:right="1800" w:bottom="89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DA2F16"/>
    <w:lvl w:ilvl="0">
      <w:numFmt w:val="bullet"/>
      <w:lvlText w:val="*"/>
      <w:lvlJc w:val="left"/>
    </w:lvl>
  </w:abstractNum>
  <w:abstractNum w:abstractNumId="1">
    <w:nsid w:val="071D161F"/>
    <w:multiLevelType w:val="hybridMultilevel"/>
    <w:tmpl w:val="A0FC86D2"/>
    <w:lvl w:ilvl="0" w:tplc="95E855B8">
      <w:start w:val="1"/>
      <w:numFmt w:val="bullet"/>
      <w:lvlText w:val=""/>
      <w:lvlJc w:val="left"/>
      <w:pPr>
        <w:tabs>
          <w:tab w:val="num" w:pos="720"/>
        </w:tabs>
        <w:ind w:left="720" w:hanging="360"/>
      </w:pPr>
      <w:rPr>
        <w:rFonts w:ascii="Wingdings" w:hAnsi="Wingdings" w:hint="default"/>
      </w:rPr>
    </w:lvl>
    <w:lvl w:ilvl="1" w:tplc="DBA62AB6" w:tentative="1">
      <w:start w:val="1"/>
      <w:numFmt w:val="bullet"/>
      <w:lvlText w:val=""/>
      <w:lvlJc w:val="left"/>
      <w:pPr>
        <w:tabs>
          <w:tab w:val="num" w:pos="1440"/>
        </w:tabs>
        <w:ind w:left="1440" w:hanging="360"/>
      </w:pPr>
      <w:rPr>
        <w:rFonts w:ascii="Wingdings" w:hAnsi="Wingdings" w:hint="default"/>
      </w:rPr>
    </w:lvl>
    <w:lvl w:ilvl="2" w:tplc="F47027EA" w:tentative="1">
      <w:start w:val="1"/>
      <w:numFmt w:val="bullet"/>
      <w:lvlText w:val=""/>
      <w:lvlJc w:val="left"/>
      <w:pPr>
        <w:tabs>
          <w:tab w:val="num" w:pos="2160"/>
        </w:tabs>
        <w:ind w:left="2160" w:hanging="360"/>
      </w:pPr>
      <w:rPr>
        <w:rFonts w:ascii="Wingdings" w:hAnsi="Wingdings" w:hint="default"/>
      </w:rPr>
    </w:lvl>
    <w:lvl w:ilvl="3" w:tplc="A89E6290" w:tentative="1">
      <w:start w:val="1"/>
      <w:numFmt w:val="bullet"/>
      <w:lvlText w:val=""/>
      <w:lvlJc w:val="left"/>
      <w:pPr>
        <w:tabs>
          <w:tab w:val="num" w:pos="2880"/>
        </w:tabs>
        <w:ind w:left="2880" w:hanging="360"/>
      </w:pPr>
      <w:rPr>
        <w:rFonts w:ascii="Wingdings" w:hAnsi="Wingdings" w:hint="default"/>
      </w:rPr>
    </w:lvl>
    <w:lvl w:ilvl="4" w:tplc="9770207A" w:tentative="1">
      <w:start w:val="1"/>
      <w:numFmt w:val="bullet"/>
      <w:lvlText w:val=""/>
      <w:lvlJc w:val="left"/>
      <w:pPr>
        <w:tabs>
          <w:tab w:val="num" w:pos="3600"/>
        </w:tabs>
        <w:ind w:left="3600" w:hanging="360"/>
      </w:pPr>
      <w:rPr>
        <w:rFonts w:ascii="Wingdings" w:hAnsi="Wingdings" w:hint="default"/>
      </w:rPr>
    </w:lvl>
    <w:lvl w:ilvl="5" w:tplc="353A5B82" w:tentative="1">
      <w:start w:val="1"/>
      <w:numFmt w:val="bullet"/>
      <w:lvlText w:val=""/>
      <w:lvlJc w:val="left"/>
      <w:pPr>
        <w:tabs>
          <w:tab w:val="num" w:pos="4320"/>
        </w:tabs>
        <w:ind w:left="4320" w:hanging="360"/>
      </w:pPr>
      <w:rPr>
        <w:rFonts w:ascii="Wingdings" w:hAnsi="Wingdings" w:hint="default"/>
      </w:rPr>
    </w:lvl>
    <w:lvl w:ilvl="6" w:tplc="FBFA6C34" w:tentative="1">
      <w:start w:val="1"/>
      <w:numFmt w:val="bullet"/>
      <w:lvlText w:val=""/>
      <w:lvlJc w:val="left"/>
      <w:pPr>
        <w:tabs>
          <w:tab w:val="num" w:pos="5040"/>
        </w:tabs>
        <w:ind w:left="5040" w:hanging="360"/>
      </w:pPr>
      <w:rPr>
        <w:rFonts w:ascii="Wingdings" w:hAnsi="Wingdings" w:hint="default"/>
      </w:rPr>
    </w:lvl>
    <w:lvl w:ilvl="7" w:tplc="6E505E9E" w:tentative="1">
      <w:start w:val="1"/>
      <w:numFmt w:val="bullet"/>
      <w:lvlText w:val=""/>
      <w:lvlJc w:val="left"/>
      <w:pPr>
        <w:tabs>
          <w:tab w:val="num" w:pos="5760"/>
        </w:tabs>
        <w:ind w:left="5760" w:hanging="360"/>
      </w:pPr>
      <w:rPr>
        <w:rFonts w:ascii="Wingdings" w:hAnsi="Wingdings" w:hint="default"/>
      </w:rPr>
    </w:lvl>
    <w:lvl w:ilvl="8" w:tplc="65B425D2" w:tentative="1">
      <w:start w:val="1"/>
      <w:numFmt w:val="bullet"/>
      <w:lvlText w:val=""/>
      <w:lvlJc w:val="left"/>
      <w:pPr>
        <w:tabs>
          <w:tab w:val="num" w:pos="6480"/>
        </w:tabs>
        <w:ind w:left="6480" w:hanging="360"/>
      </w:pPr>
      <w:rPr>
        <w:rFonts w:ascii="Wingdings" w:hAnsi="Wingdings" w:hint="default"/>
      </w:rPr>
    </w:lvl>
  </w:abstractNum>
  <w:abstractNum w:abstractNumId="2">
    <w:nsid w:val="0AF17D5A"/>
    <w:multiLevelType w:val="hybridMultilevel"/>
    <w:tmpl w:val="585AC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515625"/>
    <w:multiLevelType w:val="hybridMultilevel"/>
    <w:tmpl w:val="193087E8"/>
    <w:lvl w:ilvl="0" w:tplc="C0424D7C">
      <w:start w:val="1"/>
      <w:numFmt w:val="bullet"/>
      <w:lvlText w:val=""/>
      <w:lvlJc w:val="left"/>
      <w:pPr>
        <w:tabs>
          <w:tab w:val="num" w:pos="360"/>
        </w:tabs>
        <w:ind w:left="340" w:hanging="340"/>
      </w:pPr>
      <w:rPr>
        <w:rFonts w:ascii="Symbol" w:hAnsi="Symbol" w:hint="default"/>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720225F"/>
    <w:multiLevelType w:val="hybridMultilevel"/>
    <w:tmpl w:val="BD46CA4C"/>
    <w:lvl w:ilvl="0" w:tplc="9C40E6D2">
      <w:start w:val="1"/>
      <w:numFmt w:val="bullet"/>
      <w:lvlText w:val=""/>
      <w:lvlJc w:val="left"/>
      <w:pPr>
        <w:tabs>
          <w:tab w:val="num" w:pos="357"/>
        </w:tabs>
        <w:ind w:left="357" w:hanging="357"/>
      </w:pPr>
      <w:rPr>
        <w:rFonts w:ascii="Symbol" w:hAnsi="Symbol" w:hint="default"/>
        <w:b w:val="0"/>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BCC03EE"/>
    <w:multiLevelType w:val="hybridMultilevel"/>
    <w:tmpl w:val="EB8859DC"/>
    <w:lvl w:ilvl="0" w:tplc="CB5E91C0">
      <w:start w:val="1"/>
      <w:numFmt w:val="bullet"/>
      <w:lvlText w:val="•"/>
      <w:lvlJc w:val="left"/>
      <w:pPr>
        <w:tabs>
          <w:tab w:val="num" w:pos="720"/>
        </w:tabs>
        <w:ind w:left="720" w:hanging="360"/>
      </w:pPr>
      <w:rPr>
        <w:rFonts w:ascii="Times New Roman" w:hAnsi="Times New Roman" w:hint="default"/>
      </w:rPr>
    </w:lvl>
    <w:lvl w:ilvl="1" w:tplc="D8746AE4" w:tentative="1">
      <w:start w:val="1"/>
      <w:numFmt w:val="bullet"/>
      <w:lvlText w:val="•"/>
      <w:lvlJc w:val="left"/>
      <w:pPr>
        <w:tabs>
          <w:tab w:val="num" w:pos="1440"/>
        </w:tabs>
        <w:ind w:left="1440" w:hanging="360"/>
      </w:pPr>
      <w:rPr>
        <w:rFonts w:ascii="Times New Roman" w:hAnsi="Times New Roman" w:hint="default"/>
      </w:rPr>
    </w:lvl>
    <w:lvl w:ilvl="2" w:tplc="0FBE6F5A" w:tentative="1">
      <w:start w:val="1"/>
      <w:numFmt w:val="bullet"/>
      <w:lvlText w:val="•"/>
      <w:lvlJc w:val="left"/>
      <w:pPr>
        <w:tabs>
          <w:tab w:val="num" w:pos="2160"/>
        </w:tabs>
        <w:ind w:left="2160" w:hanging="360"/>
      </w:pPr>
      <w:rPr>
        <w:rFonts w:ascii="Times New Roman" w:hAnsi="Times New Roman" w:hint="default"/>
      </w:rPr>
    </w:lvl>
    <w:lvl w:ilvl="3" w:tplc="3140D776" w:tentative="1">
      <w:start w:val="1"/>
      <w:numFmt w:val="bullet"/>
      <w:lvlText w:val="•"/>
      <w:lvlJc w:val="left"/>
      <w:pPr>
        <w:tabs>
          <w:tab w:val="num" w:pos="2880"/>
        </w:tabs>
        <w:ind w:left="2880" w:hanging="360"/>
      </w:pPr>
      <w:rPr>
        <w:rFonts w:ascii="Times New Roman" w:hAnsi="Times New Roman" w:hint="default"/>
      </w:rPr>
    </w:lvl>
    <w:lvl w:ilvl="4" w:tplc="4CDAA56A" w:tentative="1">
      <w:start w:val="1"/>
      <w:numFmt w:val="bullet"/>
      <w:lvlText w:val="•"/>
      <w:lvlJc w:val="left"/>
      <w:pPr>
        <w:tabs>
          <w:tab w:val="num" w:pos="3600"/>
        </w:tabs>
        <w:ind w:left="3600" w:hanging="360"/>
      </w:pPr>
      <w:rPr>
        <w:rFonts w:ascii="Times New Roman" w:hAnsi="Times New Roman" w:hint="default"/>
      </w:rPr>
    </w:lvl>
    <w:lvl w:ilvl="5" w:tplc="3E9AF166" w:tentative="1">
      <w:start w:val="1"/>
      <w:numFmt w:val="bullet"/>
      <w:lvlText w:val="•"/>
      <w:lvlJc w:val="left"/>
      <w:pPr>
        <w:tabs>
          <w:tab w:val="num" w:pos="4320"/>
        </w:tabs>
        <w:ind w:left="4320" w:hanging="360"/>
      </w:pPr>
      <w:rPr>
        <w:rFonts w:ascii="Times New Roman" w:hAnsi="Times New Roman" w:hint="default"/>
      </w:rPr>
    </w:lvl>
    <w:lvl w:ilvl="6" w:tplc="5D924098" w:tentative="1">
      <w:start w:val="1"/>
      <w:numFmt w:val="bullet"/>
      <w:lvlText w:val="•"/>
      <w:lvlJc w:val="left"/>
      <w:pPr>
        <w:tabs>
          <w:tab w:val="num" w:pos="5040"/>
        </w:tabs>
        <w:ind w:left="5040" w:hanging="360"/>
      </w:pPr>
      <w:rPr>
        <w:rFonts w:ascii="Times New Roman" w:hAnsi="Times New Roman" w:hint="default"/>
      </w:rPr>
    </w:lvl>
    <w:lvl w:ilvl="7" w:tplc="9AFAE17E" w:tentative="1">
      <w:start w:val="1"/>
      <w:numFmt w:val="bullet"/>
      <w:lvlText w:val="•"/>
      <w:lvlJc w:val="left"/>
      <w:pPr>
        <w:tabs>
          <w:tab w:val="num" w:pos="5760"/>
        </w:tabs>
        <w:ind w:left="5760" w:hanging="360"/>
      </w:pPr>
      <w:rPr>
        <w:rFonts w:ascii="Times New Roman" w:hAnsi="Times New Roman" w:hint="default"/>
      </w:rPr>
    </w:lvl>
    <w:lvl w:ilvl="8" w:tplc="223CD43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4"/>
  </w:num>
  <w:num w:numId="3">
    <w:abstractNumId w:val="5"/>
  </w:num>
  <w:num w:numId="4">
    <w:abstractNumId w:val="1"/>
  </w:num>
  <w:num w:numId="5">
    <w:abstractNumId w:val="0"/>
    <w:lvlOverride w:ilvl="0">
      <w:lvl w:ilvl="0">
        <w:numFmt w:val="bullet"/>
        <w:lvlText w:val="•"/>
        <w:legacy w:legacy="1" w:legacySpace="0" w:legacyIndent="0"/>
        <w:lvlJc w:val="left"/>
        <w:rPr>
          <w:rFonts w:ascii="Arial" w:hAnsi="Arial" w:cs="Arial" w:hint="default"/>
          <w:sz w:val="42"/>
        </w:rPr>
      </w:lvl>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20"/>
  <w:characterSpacingControl w:val="doNotCompress"/>
  <w:compat/>
  <w:rsids>
    <w:rsidRoot w:val="005D492E"/>
    <w:rsid w:val="00003A25"/>
    <w:rsid w:val="00005228"/>
    <w:rsid w:val="00006E4C"/>
    <w:rsid w:val="000655E6"/>
    <w:rsid w:val="000D3D97"/>
    <w:rsid w:val="000F1355"/>
    <w:rsid w:val="000F75F3"/>
    <w:rsid w:val="001044A4"/>
    <w:rsid w:val="001128DB"/>
    <w:rsid w:val="00132B81"/>
    <w:rsid w:val="0014002E"/>
    <w:rsid w:val="00141636"/>
    <w:rsid w:val="00155E60"/>
    <w:rsid w:val="0017433E"/>
    <w:rsid w:val="00182455"/>
    <w:rsid w:val="001A3818"/>
    <w:rsid w:val="001C3FEE"/>
    <w:rsid w:val="001C7069"/>
    <w:rsid w:val="001D6BF2"/>
    <w:rsid w:val="001F758E"/>
    <w:rsid w:val="0021209D"/>
    <w:rsid w:val="0025125E"/>
    <w:rsid w:val="00255EC6"/>
    <w:rsid w:val="00276DC3"/>
    <w:rsid w:val="002A1B2E"/>
    <w:rsid w:val="002A42F6"/>
    <w:rsid w:val="002A54DA"/>
    <w:rsid w:val="002C3D8F"/>
    <w:rsid w:val="002C5647"/>
    <w:rsid w:val="002D365C"/>
    <w:rsid w:val="002E06BC"/>
    <w:rsid w:val="002F3322"/>
    <w:rsid w:val="00300979"/>
    <w:rsid w:val="003015F3"/>
    <w:rsid w:val="00312364"/>
    <w:rsid w:val="00336936"/>
    <w:rsid w:val="00355ED1"/>
    <w:rsid w:val="003603E5"/>
    <w:rsid w:val="003726F3"/>
    <w:rsid w:val="00383F41"/>
    <w:rsid w:val="003900EB"/>
    <w:rsid w:val="00392267"/>
    <w:rsid w:val="00393BEA"/>
    <w:rsid w:val="003B00FC"/>
    <w:rsid w:val="003C52D3"/>
    <w:rsid w:val="0040757C"/>
    <w:rsid w:val="00421FDB"/>
    <w:rsid w:val="004737AC"/>
    <w:rsid w:val="004D5AC7"/>
    <w:rsid w:val="00512542"/>
    <w:rsid w:val="005149A2"/>
    <w:rsid w:val="00525DA5"/>
    <w:rsid w:val="00531F60"/>
    <w:rsid w:val="00562DF9"/>
    <w:rsid w:val="0056718F"/>
    <w:rsid w:val="005D304B"/>
    <w:rsid w:val="005D3D7A"/>
    <w:rsid w:val="005D492E"/>
    <w:rsid w:val="005F55EC"/>
    <w:rsid w:val="00607555"/>
    <w:rsid w:val="00633189"/>
    <w:rsid w:val="006A029A"/>
    <w:rsid w:val="006A0ACF"/>
    <w:rsid w:val="006A48FB"/>
    <w:rsid w:val="006B0FEB"/>
    <w:rsid w:val="006E1A47"/>
    <w:rsid w:val="00736ED7"/>
    <w:rsid w:val="00737ED6"/>
    <w:rsid w:val="007454EF"/>
    <w:rsid w:val="0075703A"/>
    <w:rsid w:val="00770734"/>
    <w:rsid w:val="00790920"/>
    <w:rsid w:val="00792419"/>
    <w:rsid w:val="007C362F"/>
    <w:rsid w:val="008073B8"/>
    <w:rsid w:val="008577A5"/>
    <w:rsid w:val="00857DC6"/>
    <w:rsid w:val="00875C91"/>
    <w:rsid w:val="00883DD8"/>
    <w:rsid w:val="008A450C"/>
    <w:rsid w:val="008A72AC"/>
    <w:rsid w:val="008B5F68"/>
    <w:rsid w:val="008C123A"/>
    <w:rsid w:val="008D1064"/>
    <w:rsid w:val="008D2741"/>
    <w:rsid w:val="008E3C97"/>
    <w:rsid w:val="00935ED4"/>
    <w:rsid w:val="00944746"/>
    <w:rsid w:val="00944A19"/>
    <w:rsid w:val="00950313"/>
    <w:rsid w:val="009510E8"/>
    <w:rsid w:val="0095129D"/>
    <w:rsid w:val="009754F8"/>
    <w:rsid w:val="00987AC7"/>
    <w:rsid w:val="009A5B8F"/>
    <w:rsid w:val="009C26C0"/>
    <w:rsid w:val="009D081A"/>
    <w:rsid w:val="009E50F2"/>
    <w:rsid w:val="00A14C81"/>
    <w:rsid w:val="00A44138"/>
    <w:rsid w:val="00A56D68"/>
    <w:rsid w:val="00A6389A"/>
    <w:rsid w:val="00A76294"/>
    <w:rsid w:val="00A77A7B"/>
    <w:rsid w:val="00A97C1F"/>
    <w:rsid w:val="00AA279C"/>
    <w:rsid w:val="00AD342E"/>
    <w:rsid w:val="00B2627A"/>
    <w:rsid w:val="00B76C06"/>
    <w:rsid w:val="00B7786E"/>
    <w:rsid w:val="00B833BF"/>
    <w:rsid w:val="00BA07D6"/>
    <w:rsid w:val="00BA57B7"/>
    <w:rsid w:val="00BB1753"/>
    <w:rsid w:val="00BE3DE3"/>
    <w:rsid w:val="00BF0222"/>
    <w:rsid w:val="00C31216"/>
    <w:rsid w:val="00C874F6"/>
    <w:rsid w:val="00C93C1E"/>
    <w:rsid w:val="00CA7EE4"/>
    <w:rsid w:val="00D13027"/>
    <w:rsid w:val="00D24EAB"/>
    <w:rsid w:val="00D25061"/>
    <w:rsid w:val="00D306A4"/>
    <w:rsid w:val="00D6180F"/>
    <w:rsid w:val="00D856B3"/>
    <w:rsid w:val="00DB458B"/>
    <w:rsid w:val="00DD46D7"/>
    <w:rsid w:val="00DE6543"/>
    <w:rsid w:val="00E0476D"/>
    <w:rsid w:val="00E06DBA"/>
    <w:rsid w:val="00E228B3"/>
    <w:rsid w:val="00E36FB7"/>
    <w:rsid w:val="00E60441"/>
    <w:rsid w:val="00E81792"/>
    <w:rsid w:val="00EC3745"/>
    <w:rsid w:val="00ED4BDD"/>
    <w:rsid w:val="00EF2071"/>
    <w:rsid w:val="00F13D05"/>
    <w:rsid w:val="00F1420C"/>
    <w:rsid w:val="00F45A2E"/>
    <w:rsid w:val="00F60313"/>
    <w:rsid w:val="00F80801"/>
    <w:rsid w:val="00F9463E"/>
    <w:rsid w:val="00F94DF1"/>
    <w:rsid w:val="00FA03AC"/>
    <w:rsid w:val="00FB5EF9"/>
    <w:rsid w:val="00FD55C0"/>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2DF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0D3D97"/>
    <w:rPr>
      <w:sz w:val="16"/>
      <w:szCs w:val="16"/>
    </w:rPr>
  </w:style>
  <w:style w:type="paragraph" w:styleId="CommentText">
    <w:name w:val="annotation text"/>
    <w:basedOn w:val="Normal"/>
    <w:semiHidden/>
    <w:rsid w:val="000D3D97"/>
    <w:rPr>
      <w:sz w:val="20"/>
      <w:szCs w:val="20"/>
    </w:rPr>
  </w:style>
  <w:style w:type="paragraph" w:styleId="CommentSubject">
    <w:name w:val="annotation subject"/>
    <w:basedOn w:val="CommentText"/>
    <w:next w:val="CommentText"/>
    <w:semiHidden/>
    <w:rsid w:val="000D3D97"/>
    <w:rPr>
      <w:b/>
      <w:bCs/>
    </w:rPr>
  </w:style>
  <w:style w:type="paragraph" w:styleId="BalloonText">
    <w:name w:val="Balloon Text"/>
    <w:basedOn w:val="Normal"/>
    <w:semiHidden/>
    <w:rsid w:val="000D3D97"/>
    <w:rPr>
      <w:rFonts w:ascii="Tahoma" w:hAnsi="Tahoma" w:cs="Tahoma"/>
      <w:sz w:val="16"/>
      <w:szCs w:val="16"/>
    </w:rPr>
  </w:style>
  <w:style w:type="character" w:customStyle="1" w:styleId="EmailStyle191">
    <w:name w:val="EmailStyle19"/>
    <w:aliases w:val="EmailStyle19"/>
    <w:basedOn w:val="DefaultParagraphFont"/>
    <w:semiHidden/>
    <w:personal/>
    <w:personalCompose/>
    <w:rsid w:val="00525DA5"/>
    <w:rPr>
      <w:rFonts w:ascii="Verdana" w:hAnsi="Verdana"/>
      <w:b w:val="0"/>
      <w:bCs w:val="0"/>
      <w:i w:val="0"/>
      <w:iCs w:val="0"/>
      <w:strike w:val="0"/>
      <w:color w:val="0000FF"/>
      <w:sz w:val="20"/>
      <w:szCs w:val="20"/>
      <w:u w:val="none"/>
    </w:rPr>
  </w:style>
  <w:style w:type="table" w:styleId="TableGrid">
    <w:name w:val="Table Grid"/>
    <w:basedOn w:val="TableNormal"/>
    <w:rsid w:val="005125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03A25"/>
    <w:pPr>
      <w:ind w:left="720"/>
      <w:contextualSpacing/>
    </w:pPr>
  </w:style>
</w:styles>
</file>

<file path=word/webSettings.xml><?xml version="1.0" encoding="utf-8"?>
<w:webSettings xmlns:r="http://schemas.openxmlformats.org/officeDocument/2006/relationships" xmlns:w="http://schemas.openxmlformats.org/wordprocessingml/2006/main">
  <w:divs>
    <w:div w:id="23604595">
      <w:bodyDiv w:val="1"/>
      <w:marLeft w:val="0"/>
      <w:marRight w:val="0"/>
      <w:marTop w:val="0"/>
      <w:marBottom w:val="0"/>
      <w:divBdr>
        <w:top w:val="none" w:sz="0" w:space="0" w:color="auto"/>
        <w:left w:val="none" w:sz="0" w:space="0" w:color="auto"/>
        <w:bottom w:val="none" w:sz="0" w:space="0" w:color="auto"/>
        <w:right w:val="none" w:sz="0" w:space="0" w:color="auto"/>
      </w:divBdr>
      <w:divsChild>
        <w:div w:id="813911005">
          <w:marLeft w:val="0"/>
          <w:marRight w:val="0"/>
          <w:marTop w:val="0"/>
          <w:marBottom w:val="0"/>
          <w:divBdr>
            <w:top w:val="none" w:sz="0" w:space="0" w:color="auto"/>
            <w:left w:val="none" w:sz="0" w:space="0" w:color="auto"/>
            <w:bottom w:val="none" w:sz="0" w:space="0" w:color="auto"/>
            <w:right w:val="none" w:sz="0" w:space="0" w:color="auto"/>
          </w:divBdr>
          <w:divsChild>
            <w:div w:id="11095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2181">
      <w:bodyDiv w:val="1"/>
      <w:marLeft w:val="0"/>
      <w:marRight w:val="0"/>
      <w:marTop w:val="0"/>
      <w:marBottom w:val="0"/>
      <w:divBdr>
        <w:top w:val="none" w:sz="0" w:space="0" w:color="auto"/>
        <w:left w:val="none" w:sz="0" w:space="0" w:color="auto"/>
        <w:bottom w:val="none" w:sz="0" w:space="0" w:color="auto"/>
        <w:right w:val="none" w:sz="0" w:space="0" w:color="auto"/>
      </w:divBdr>
      <w:divsChild>
        <w:div w:id="845024160">
          <w:marLeft w:val="0"/>
          <w:marRight w:val="0"/>
          <w:marTop w:val="0"/>
          <w:marBottom w:val="0"/>
          <w:divBdr>
            <w:top w:val="none" w:sz="0" w:space="0" w:color="auto"/>
            <w:left w:val="none" w:sz="0" w:space="0" w:color="auto"/>
            <w:bottom w:val="none" w:sz="0" w:space="0" w:color="auto"/>
            <w:right w:val="none" w:sz="0" w:space="0" w:color="auto"/>
          </w:divBdr>
          <w:divsChild>
            <w:div w:id="196649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31676">
      <w:bodyDiv w:val="1"/>
      <w:marLeft w:val="0"/>
      <w:marRight w:val="0"/>
      <w:marTop w:val="0"/>
      <w:marBottom w:val="0"/>
      <w:divBdr>
        <w:top w:val="none" w:sz="0" w:space="0" w:color="auto"/>
        <w:left w:val="none" w:sz="0" w:space="0" w:color="auto"/>
        <w:bottom w:val="none" w:sz="0" w:space="0" w:color="auto"/>
        <w:right w:val="none" w:sz="0" w:space="0" w:color="auto"/>
      </w:divBdr>
      <w:divsChild>
        <w:div w:id="446584328">
          <w:marLeft w:val="0"/>
          <w:marRight w:val="0"/>
          <w:marTop w:val="0"/>
          <w:marBottom w:val="0"/>
          <w:divBdr>
            <w:top w:val="none" w:sz="0" w:space="0" w:color="auto"/>
            <w:left w:val="none" w:sz="0" w:space="0" w:color="auto"/>
            <w:bottom w:val="none" w:sz="0" w:space="0" w:color="auto"/>
            <w:right w:val="none" w:sz="0" w:space="0" w:color="auto"/>
          </w:divBdr>
          <w:divsChild>
            <w:div w:id="628977060">
              <w:marLeft w:val="0"/>
              <w:marRight w:val="0"/>
              <w:marTop w:val="0"/>
              <w:marBottom w:val="0"/>
              <w:divBdr>
                <w:top w:val="none" w:sz="0" w:space="0" w:color="auto"/>
                <w:left w:val="none" w:sz="0" w:space="0" w:color="auto"/>
                <w:bottom w:val="none" w:sz="0" w:space="0" w:color="auto"/>
                <w:right w:val="none" w:sz="0" w:space="0" w:color="auto"/>
              </w:divBdr>
            </w:div>
            <w:div w:id="636379749">
              <w:marLeft w:val="0"/>
              <w:marRight w:val="0"/>
              <w:marTop w:val="0"/>
              <w:marBottom w:val="0"/>
              <w:divBdr>
                <w:top w:val="none" w:sz="0" w:space="0" w:color="auto"/>
                <w:left w:val="none" w:sz="0" w:space="0" w:color="auto"/>
                <w:bottom w:val="none" w:sz="0" w:space="0" w:color="auto"/>
                <w:right w:val="none" w:sz="0" w:space="0" w:color="auto"/>
              </w:divBdr>
            </w:div>
            <w:div w:id="750196225">
              <w:marLeft w:val="0"/>
              <w:marRight w:val="0"/>
              <w:marTop w:val="0"/>
              <w:marBottom w:val="0"/>
              <w:divBdr>
                <w:top w:val="none" w:sz="0" w:space="0" w:color="auto"/>
                <w:left w:val="none" w:sz="0" w:space="0" w:color="auto"/>
                <w:bottom w:val="none" w:sz="0" w:space="0" w:color="auto"/>
                <w:right w:val="none" w:sz="0" w:space="0" w:color="auto"/>
              </w:divBdr>
            </w:div>
            <w:div w:id="966937667">
              <w:marLeft w:val="0"/>
              <w:marRight w:val="0"/>
              <w:marTop w:val="0"/>
              <w:marBottom w:val="0"/>
              <w:divBdr>
                <w:top w:val="none" w:sz="0" w:space="0" w:color="auto"/>
                <w:left w:val="none" w:sz="0" w:space="0" w:color="auto"/>
                <w:bottom w:val="none" w:sz="0" w:space="0" w:color="auto"/>
                <w:right w:val="none" w:sz="0" w:space="0" w:color="auto"/>
              </w:divBdr>
            </w:div>
            <w:div w:id="1135831065">
              <w:marLeft w:val="0"/>
              <w:marRight w:val="0"/>
              <w:marTop w:val="0"/>
              <w:marBottom w:val="0"/>
              <w:divBdr>
                <w:top w:val="none" w:sz="0" w:space="0" w:color="auto"/>
                <w:left w:val="none" w:sz="0" w:space="0" w:color="auto"/>
                <w:bottom w:val="none" w:sz="0" w:space="0" w:color="auto"/>
                <w:right w:val="none" w:sz="0" w:space="0" w:color="auto"/>
              </w:divBdr>
            </w:div>
            <w:div w:id="1372996086">
              <w:marLeft w:val="0"/>
              <w:marRight w:val="0"/>
              <w:marTop w:val="0"/>
              <w:marBottom w:val="0"/>
              <w:divBdr>
                <w:top w:val="none" w:sz="0" w:space="0" w:color="auto"/>
                <w:left w:val="none" w:sz="0" w:space="0" w:color="auto"/>
                <w:bottom w:val="none" w:sz="0" w:space="0" w:color="auto"/>
                <w:right w:val="none" w:sz="0" w:space="0" w:color="auto"/>
              </w:divBdr>
            </w:div>
            <w:div w:id="16503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8098">
      <w:bodyDiv w:val="1"/>
      <w:marLeft w:val="0"/>
      <w:marRight w:val="0"/>
      <w:marTop w:val="0"/>
      <w:marBottom w:val="0"/>
      <w:divBdr>
        <w:top w:val="none" w:sz="0" w:space="0" w:color="auto"/>
        <w:left w:val="none" w:sz="0" w:space="0" w:color="auto"/>
        <w:bottom w:val="none" w:sz="0" w:space="0" w:color="auto"/>
        <w:right w:val="none" w:sz="0" w:space="0" w:color="auto"/>
      </w:divBdr>
      <w:divsChild>
        <w:div w:id="1827361652">
          <w:marLeft w:val="0"/>
          <w:marRight w:val="0"/>
          <w:marTop w:val="0"/>
          <w:marBottom w:val="0"/>
          <w:divBdr>
            <w:top w:val="none" w:sz="0" w:space="0" w:color="auto"/>
            <w:left w:val="none" w:sz="0" w:space="0" w:color="auto"/>
            <w:bottom w:val="none" w:sz="0" w:space="0" w:color="auto"/>
            <w:right w:val="none" w:sz="0" w:space="0" w:color="auto"/>
          </w:divBdr>
        </w:div>
      </w:divsChild>
    </w:div>
    <w:div w:id="751901376">
      <w:bodyDiv w:val="1"/>
      <w:marLeft w:val="0"/>
      <w:marRight w:val="0"/>
      <w:marTop w:val="0"/>
      <w:marBottom w:val="0"/>
      <w:divBdr>
        <w:top w:val="none" w:sz="0" w:space="0" w:color="auto"/>
        <w:left w:val="none" w:sz="0" w:space="0" w:color="auto"/>
        <w:bottom w:val="none" w:sz="0" w:space="0" w:color="auto"/>
        <w:right w:val="none" w:sz="0" w:space="0" w:color="auto"/>
      </w:divBdr>
      <w:divsChild>
        <w:div w:id="668338481">
          <w:marLeft w:val="0"/>
          <w:marRight w:val="0"/>
          <w:marTop w:val="0"/>
          <w:marBottom w:val="0"/>
          <w:divBdr>
            <w:top w:val="none" w:sz="0" w:space="0" w:color="auto"/>
            <w:left w:val="none" w:sz="0" w:space="0" w:color="auto"/>
            <w:bottom w:val="none" w:sz="0" w:space="0" w:color="auto"/>
            <w:right w:val="none" w:sz="0" w:space="0" w:color="auto"/>
          </w:divBdr>
          <w:divsChild>
            <w:div w:id="291711847">
              <w:marLeft w:val="0"/>
              <w:marRight w:val="0"/>
              <w:marTop w:val="0"/>
              <w:marBottom w:val="0"/>
              <w:divBdr>
                <w:top w:val="none" w:sz="0" w:space="0" w:color="auto"/>
                <w:left w:val="none" w:sz="0" w:space="0" w:color="auto"/>
                <w:bottom w:val="none" w:sz="0" w:space="0" w:color="auto"/>
                <w:right w:val="none" w:sz="0" w:space="0" w:color="auto"/>
              </w:divBdr>
            </w:div>
            <w:div w:id="653678595">
              <w:marLeft w:val="0"/>
              <w:marRight w:val="0"/>
              <w:marTop w:val="0"/>
              <w:marBottom w:val="0"/>
              <w:divBdr>
                <w:top w:val="none" w:sz="0" w:space="0" w:color="auto"/>
                <w:left w:val="none" w:sz="0" w:space="0" w:color="auto"/>
                <w:bottom w:val="none" w:sz="0" w:space="0" w:color="auto"/>
                <w:right w:val="none" w:sz="0" w:space="0" w:color="auto"/>
              </w:divBdr>
            </w:div>
            <w:div w:id="772945218">
              <w:marLeft w:val="0"/>
              <w:marRight w:val="0"/>
              <w:marTop w:val="0"/>
              <w:marBottom w:val="0"/>
              <w:divBdr>
                <w:top w:val="none" w:sz="0" w:space="0" w:color="auto"/>
                <w:left w:val="none" w:sz="0" w:space="0" w:color="auto"/>
                <w:bottom w:val="none" w:sz="0" w:space="0" w:color="auto"/>
                <w:right w:val="none" w:sz="0" w:space="0" w:color="auto"/>
              </w:divBdr>
            </w:div>
            <w:div w:id="1174416655">
              <w:marLeft w:val="0"/>
              <w:marRight w:val="0"/>
              <w:marTop w:val="0"/>
              <w:marBottom w:val="0"/>
              <w:divBdr>
                <w:top w:val="none" w:sz="0" w:space="0" w:color="auto"/>
                <w:left w:val="none" w:sz="0" w:space="0" w:color="auto"/>
                <w:bottom w:val="none" w:sz="0" w:space="0" w:color="auto"/>
                <w:right w:val="none" w:sz="0" w:space="0" w:color="auto"/>
              </w:divBdr>
            </w:div>
            <w:div w:id="12813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3885">
      <w:bodyDiv w:val="1"/>
      <w:marLeft w:val="0"/>
      <w:marRight w:val="0"/>
      <w:marTop w:val="0"/>
      <w:marBottom w:val="0"/>
      <w:divBdr>
        <w:top w:val="none" w:sz="0" w:space="0" w:color="auto"/>
        <w:left w:val="none" w:sz="0" w:space="0" w:color="auto"/>
        <w:bottom w:val="none" w:sz="0" w:space="0" w:color="auto"/>
        <w:right w:val="none" w:sz="0" w:space="0" w:color="auto"/>
      </w:divBdr>
      <w:divsChild>
        <w:div w:id="1020469492">
          <w:marLeft w:val="0"/>
          <w:marRight w:val="0"/>
          <w:marTop w:val="0"/>
          <w:marBottom w:val="0"/>
          <w:divBdr>
            <w:top w:val="none" w:sz="0" w:space="0" w:color="auto"/>
            <w:left w:val="none" w:sz="0" w:space="0" w:color="auto"/>
            <w:bottom w:val="none" w:sz="0" w:space="0" w:color="auto"/>
            <w:right w:val="none" w:sz="0" w:space="0" w:color="auto"/>
          </w:divBdr>
          <w:divsChild>
            <w:div w:id="853424598">
              <w:marLeft w:val="0"/>
              <w:marRight w:val="0"/>
              <w:marTop w:val="0"/>
              <w:marBottom w:val="0"/>
              <w:divBdr>
                <w:top w:val="none" w:sz="0" w:space="0" w:color="auto"/>
                <w:left w:val="none" w:sz="0" w:space="0" w:color="auto"/>
                <w:bottom w:val="none" w:sz="0" w:space="0" w:color="auto"/>
                <w:right w:val="none" w:sz="0" w:space="0" w:color="auto"/>
              </w:divBdr>
            </w:div>
            <w:div w:id="968778987">
              <w:marLeft w:val="0"/>
              <w:marRight w:val="0"/>
              <w:marTop w:val="0"/>
              <w:marBottom w:val="0"/>
              <w:divBdr>
                <w:top w:val="none" w:sz="0" w:space="0" w:color="auto"/>
                <w:left w:val="none" w:sz="0" w:space="0" w:color="auto"/>
                <w:bottom w:val="none" w:sz="0" w:space="0" w:color="auto"/>
                <w:right w:val="none" w:sz="0" w:space="0" w:color="auto"/>
              </w:divBdr>
            </w:div>
            <w:div w:id="14870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7028">
      <w:bodyDiv w:val="1"/>
      <w:marLeft w:val="0"/>
      <w:marRight w:val="0"/>
      <w:marTop w:val="0"/>
      <w:marBottom w:val="0"/>
      <w:divBdr>
        <w:top w:val="none" w:sz="0" w:space="0" w:color="auto"/>
        <w:left w:val="none" w:sz="0" w:space="0" w:color="auto"/>
        <w:bottom w:val="none" w:sz="0" w:space="0" w:color="auto"/>
        <w:right w:val="none" w:sz="0" w:space="0" w:color="auto"/>
      </w:divBdr>
      <w:divsChild>
        <w:div w:id="340937701">
          <w:marLeft w:val="0"/>
          <w:marRight w:val="0"/>
          <w:marTop w:val="0"/>
          <w:marBottom w:val="0"/>
          <w:divBdr>
            <w:top w:val="none" w:sz="0" w:space="0" w:color="auto"/>
            <w:left w:val="none" w:sz="0" w:space="0" w:color="auto"/>
            <w:bottom w:val="none" w:sz="0" w:space="0" w:color="auto"/>
            <w:right w:val="none" w:sz="0" w:space="0" w:color="auto"/>
          </w:divBdr>
          <w:divsChild>
            <w:div w:id="116148143">
              <w:marLeft w:val="0"/>
              <w:marRight w:val="0"/>
              <w:marTop w:val="0"/>
              <w:marBottom w:val="0"/>
              <w:divBdr>
                <w:top w:val="none" w:sz="0" w:space="0" w:color="auto"/>
                <w:left w:val="none" w:sz="0" w:space="0" w:color="auto"/>
                <w:bottom w:val="none" w:sz="0" w:space="0" w:color="auto"/>
                <w:right w:val="none" w:sz="0" w:space="0" w:color="auto"/>
              </w:divBdr>
            </w:div>
            <w:div w:id="18446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71419">
      <w:bodyDiv w:val="1"/>
      <w:marLeft w:val="0"/>
      <w:marRight w:val="0"/>
      <w:marTop w:val="0"/>
      <w:marBottom w:val="0"/>
      <w:divBdr>
        <w:top w:val="none" w:sz="0" w:space="0" w:color="auto"/>
        <w:left w:val="none" w:sz="0" w:space="0" w:color="auto"/>
        <w:bottom w:val="none" w:sz="0" w:space="0" w:color="auto"/>
        <w:right w:val="none" w:sz="0" w:space="0" w:color="auto"/>
      </w:divBdr>
      <w:divsChild>
        <w:div w:id="807624409">
          <w:marLeft w:val="0"/>
          <w:marRight w:val="0"/>
          <w:marTop w:val="0"/>
          <w:marBottom w:val="0"/>
          <w:divBdr>
            <w:top w:val="none" w:sz="0" w:space="0" w:color="auto"/>
            <w:left w:val="none" w:sz="0" w:space="0" w:color="auto"/>
            <w:bottom w:val="none" w:sz="0" w:space="0" w:color="auto"/>
            <w:right w:val="none" w:sz="0" w:space="0" w:color="auto"/>
          </w:divBdr>
          <w:divsChild>
            <w:div w:id="349379183">
              <w:marLeft w:val="0"/>
              <w:marRight w:val="0"/>
              <w:marTop w:val="0"/>
              <w:marBottom w:val="0"/>
              <w:divBdr>
                <w:top w:val="none" w:sz="0" w:space="0" w:color="auto"/>
                <w:left w:val="none" w:sz="0" w:space="0" w:color="auto"/>
                <w:bottom w:val="none" w:sz="0" w:space="0" w:color="auto"/>
                <w:right w:val="none" w:sz="0" w:space="0" w:color="auto"/>
              </w:divBdr>
            </w:div>
            <w:div w:id="670986320">
              <w:marLeft w:val="0"/>
              <w:marRight w:val="0"/>
              <w:marTop w:val="0"/>
              <w:marBottom w:val="0"/>
              <w:divBdr>
                <w:top w:val="none" w:sz="0" w:space="0" w:color="auto"/>
                <w:left w:val="none" w:sz="0" w:space="0" w:color="auto"/>
                <w:bottom w:val="none" w:sz="0" w:space="0" w:color="auto"/>
                <w:right w:val="none" w:sz="0" w:space="0" w:color="auto"/>
              </w:divBdr>
            </w:div>
            <w:div w:id="685788767">
              <w:marLeft w:val="0"/>
              <w:marRight w:val="0"/>
              <w:marTop w:val="0"/>
              <w:marBottom w:val="0"/>
              <w:divBdr>
                <w:top w:val="none" w:sz="0" w:space="0" w:color="auto"/>
                <w:left w:val="none" w:sz="0" w:space="0" w:color="auto"/>
                <w:bottom w:val="none" w:sz="0" w:space="0" w:color="auto"/>
                <w:right w:val="none" w:sz="0" w:space="0" w:color="auto"/>
              </w:divBdr>
            </w:div>
            <w:div w:id="817384741">
              <w:marLeft w:val="0"/>
              <w:marRight w:val="0"/>
              <w:marTop w:val="0"/>
              <w:marBottom w:val="0"/>
              <w:divBdr>
                <w:top w:val="none" w:sz="0" w:space="0" w:color="auto"/>
                <w:left w:val="none" w:sz="0" w:space="0" w:color="auto"/>
                <w:bottom w:val="none" w:sz="0" w:space="0" w:color="auto"/>
                <w:right w:val="none" w:sz="0" w:space="0" w:color="auto"/>
              </w:divBdr>
            </w:div>
            <w:div w:id="1093814975">
              <w:marLeft w:val="0"/>
              <w:marRight w:val="0"/>
              <w:marTop w:val="0"/>
              <w:marBottom w:val="0"/>
              <w:divBdr>
                <w:top w:val="none" w:sz="0" w:space="0" w:color="auto"/>
                <w:left w:val="none" w:sz="0" w:space="0" w:color="auto"/>
                <w:bottom w:val="none" w:sz="0" w:space="0" w:color="auto"/>
                <w:right w:val="none" w:sz="0" w:space="0" w:color="auto"/>
              </w:divBdr>
            </w:div>
            <w:div w:id="166862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4239">
      <w:bodyDiv w:val="1"/>
      <w:marLeft w:val="0"/>
      <w:marRight w:val="0"/>
      <w:marTop w:val="0"/>
      <w:marBottom w:val="0"/>
      <w:divBdr>
        <w:top w:val="none" w:sz="0" w:space="0" w:color="auto"/>
        <w:left w:val="none" w:sz="0" w:space="0" w:color="auto"/>
        <w:bottom w:val="none" w:sz="0" w:space="0" w:color="auto"/>
        <w:right w:val="none" w:sz="0" w:space="0" w:color="auto"/>
      </w:divBdr>
      <w:divsChild>
        <w:div w:id="1929541175">
          <w:marLeft w:val="0"/>
          <w:marRight w:val="0"/>
          <w:marTop w:val="0"/>
          <w:marBottom w:val="0"/>
          <w:divBdr>
            <w:top w:val="none" w:sz="0" w:space="0" w:color="auto"/>
            <w:left w:val="none" w:sz="0" w:space="0" w:color="auto"/>
            <w:bottom w:val="none" w:sz="0" w:space="0" w:color="auto"/>
            <w:right w:val="none" w:sz="0" w:space="0" w:color="auto"/>
          </w:divBdr>
          <w:divsChild>
            <w:div w:id="1480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6655">
      <w:bodyDiv w:val="1"/>
      <w:marLeft w:val="0"/>
      <w:marRight w:val="0"/>
      <w:marTop w:val="0"/>
      <w:marBottom w:val="0"/>
      <w:divBdr>
        <w:top w:val="none" w:sz="0" w:space="0" w:color="auto"/>
        <w:left w:val="none" w:sz="0" w:space="0" w:color="auto"/>
        <w:bottom w:val="none" w:sz="0" w:space="0" w:color="auto"/>
        <w:right w:val="none" w:sz="0" w:space="0" w:color="auto"/>
      </w:divBdr>
      <w:divsChild>
        <w:div w:id="99960119">
          <w:marLeft w:val="0"/>
          <w:marRight w:val="0"/>
          <w:marTop w:val="0"/>
          <w:marBottom w:val="0"/>
          <w:divBdr>
            <w:top w:val="none" w:sz="0" w:space="0" w:color="auto"/>
            <w:left w:val="none" w:sz="0" w:space="0" w:color="auto"/>
            <w:bottom w:val="none" w:sz="0" w:space="0" w:color="auto"/>
            <w:right w:val="none" w:sz="0" w:space="0" w:color="auto"/>
          </w:divBdr>
          <w:divsChild>
            <w:div w:id="38556004">
              <w:marLeft w:val="0"/>
              <w:marRight w:val="0"/>
              <w:marTop w:val="0"/>
              <w:marBottom w:val="0"/>
              <w:divBdr>
                <w:top w:val="none" w:sz="0" w:space="0" w:color="auto"/>
                <w:left w:val="none" w:sz="0" w:space="0" w:color="auto"/>
                <w:bottom w:val="none" w:sz="0" w:space="0" w:color="auto"/>
                <w:right w:val="none" w:sz="0" w:space="0" w:color="auto"/>
              </w:divBdr>
            </w:div>
            <w:div w:id="1440567655">
              <w:marLeft w:val="0"/>
              <w:marRight w:val="0"/>
              <w:marTop w:val="0"/>
              <w:marBottom w:val="0"/>
              <w:divBdr>
                <w:top w:val="none" w:sz="0" w:space="0" w:color="auto"/>
                <w:left w:val="none" w:sz="0" w:space="0" w:color="auto"/>
                <w:bottom w:val="none" w:sz="0" w:space="0" w:color="auto"/>
                <w:right w:val="none" w:sz="0" w:space="0" w:color="auto"/>
              </w:divBdr>
            </w:div>
            <w:div w:id="18015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8BC12-E461-454B-9A70-B6C40B58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2941</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Template for EBL Case Studies</vt:lpstr>
    </vt:vector>
  </TitlesOfParts>
  <Company>University of Manchester</Company>
  <LinksUpToDate>false</LinksUpToDate>
  <CharactersWithSpaces>19666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EBL Case Studies</dc:title>
  <dc:subject/>
  <dc:creator>Mciso</dc:creator>
  <cp:keywords/>
  <dc:description/>
  <cp:lastModifiedBy>Kenisha Garnett</cp:lastModifiedBy>
  <cp:revision>3</cp:revision>
  <cp:lastPrinted>2008-04-03T10:53:00Z</cp:lastPrinted>
  <dcterms:created xsi:type="dcterms:W3CDTF">2009-12-07T10:14:00Z</dcterms:created>
  <dcterms:modified xsi:type="dcterms:W3CDTF">2009-12-09T10:21:00Z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-1072617073</vt:i4>
  </property>
  <property fmtid="{D5CDD505-2E9C-101B-9397-08002B2CF9AE}" pid="3" name="_NewReviewCycle">
    <vt:lpwstr/>
  </property>
  <property fmtid="{D5CDD505-2E9C-101B-9397-08002B2CF9AE}" pid="4" name="_EmailSubject">
    <vt:lpwstr>SSP - last generation case studies </vt:lpwstr>
  </property>
  <property fmtid="{D5CDD505-2E9C-101B-9397-08002B2CF9AE}" pid="5" name="_AuthorEmail">
    <vt:lpwstr>dskg1@exchange.shu.ac.uk</vt:lpwstr>
  </property>
  <property fmtid="{D5CDD505-2E9C-101B-9397-08002B2CF9AE}" pid="6" name="_AuthorEmailDisplayName">
    <vt:lpwstr>Garnett, Kenisha</vt:lpwstr>
  </property>
  <property fmtid="{D5CDD505-2E9C-101B-9397-08002B2CF9AE}" pid="7" name="_PreviousAdHocReviewCycleID">
    <vt:i4>-1826480302</vt:i4>
  </property>
</Properties>
</file>